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CONTRATO COLECTIVO DE TRABAJO</w:t>
      </w:r>
    </w:p>
    <w:p>
      <w:pPr>
        <w:pStyle w:val="Normal"/>
        <w:jc w:val="center"/>
        <w:rPr>
          <w:b/>
          <w:b/>
        </w:rPr>
      </w:pPr>
      <w:r>
        <w:rPr>
          <w:b/>
        </w:rPr>
      </w:r>
    </w:p>
    <w:p>
      <w:pPr>
        <w:pStyle w:val="Normal"/>
        <w:ind w:firstLine="708"/>
        <w:jc w:val="both"/>
        <w:rPr/>
      </w:pPr>
      <w:r>
        <w:rPr/>
        <w:t xml:space="preserve">En conformidad a las disposiciones legales vigentes en la materia, así como, para evitar la mala interpretación que se está dando al actual convenio laboral, siendo que el Código del Trabajo permite negociar y fijar condiciones laborales entre Empleador y Empleado; toda vez que en la actualidad se cuenta con el Sindicato de los trabajadores de nuestra Empresa, con la participación y asentimiento de ambos sectores Minerales y Metales del Oriente S.R.L. como </w:t>
      </w:r>
      <w:r>
        <w:rPr>
          <w:b/>
        </w:rPr>
        <w:t>Empleador</w:t>
      </w:r>
      <w:r>
        <w:rPr/>
        <w:t xml:space="preserve">, representada por su Gerente General Ing. Ramiro Rivero Mendoza y el Sindicato de trabajadores mineros de Minerales y Metales del Oriente </w:t>
      </w:r>
      <w:r>
        <w:rPr>
          <w:b/>
        </w:rPr>
        <w:t>Trabajadores</w:t>
      </w:r>
      <w:r>
        <w:rPr/>
        <w:t>, suscriben el presente Contrato Colectivo de Trabajo.</w:t>
      </w:r>
    </w:p>
    <w:p>
      <w:pPr>
        <w:pStyle w:val="Normal"/>
        <w:jc w:val="both"/>
        <w:rPr/>
      </w:pPr>
      <w:r>
        <w:rPr/>
      </w:r>
    </w:p>
    <w:p>
      <w:pPr>
        <w:pStyle w:val="Normal"/>
        <w:jc w:val="both"/>
        <w:rPr/>
      </w:pPr>
      <w:r>
        <w:rPr/>
        <w:t>1.- NATURALEZA DEL TRABAJO Y EL SALARIO BÁSICO CLASIFICADO.-</w:t>
      </w:r>
    </w:p>
    <w:p>
      <w:pPr>
        <w:pStyle w:val="Normal"/>
        <w:jc w:val="both"/>
        <w:rPr/>
      </w:pPr>
      <w:r>
        <w:rPr/>
      </w:r>
    </w:p>
    <w:p>
      <w:pPr>
        <w:pStyle w:val="Normal"/>
        <w:ind w:firstLine="708"/>
        <w:jc w:val="both"/>
        <w:rPr/>
      </w:pPr>
      <w:r>
        <w:rPr/>
        <w:t xml:space="preserve">Para evitar confusiones en cuanto al salario Básico clasificado según las tareas y especialidades en que se desenvuelva cada trabajador, se establece la siguiente escala de sueldos o salarios Básicos: </w:t>
      </w:r>
    </w:p>
    <w:p>
      <w:pPr>
        <w:pStyle w:val="Normal"/>
        <w:jc w:val="both"/>
        <w:rPr/>
      </w:pPr>
      <w:r>
        <w:rPr/>
      </w:r>
    </w:p>
    <w:p>
      <w:pPr>
        <w:pStyle w:val="Normal"/>
        <w:jc w:val="both"/>
        <w:rPr/>
      </w:pPr>
      <w:r>
        <w:rPr/>
        <w:t>Jefes de Cuadrilla</w:t>
        <w:tab/>
        <w:tab/>
        <w:tab/>
        <w:tab/>
        <w:tab/>
        <w:tab/>
        <w:tab/>
        <w:t>Bs. 770.-</w:t>
      </w:r>
    </w:p>
    <w:p>
      <w:pPr>
        <w:pStyle w:val="Normal"/>
        <w:jc w:val="both"/>
        <w:rPr/>
      </w:pPr>
      <w:r>
        <w:rPr/>
        <w:t>Perforistas</w:t>
        <w:tab/>
        <w:tab/>
        <w:tab/>
        <w:tab/>
        <w:tab/>
        <w:tab/>
        <w:tab/>
        <w:tab/>
        <w:t>Bs. 750.-</w:t>
      </w:r>
    </w:p>
    <w:p>
      <w:pPr>
        <w:pStyle w:val="Normal"/>
        <w:jc w:val="both"/>
        <w:rPr/>
      </w:pPr>
      <w:r>
        <w:rPr/>
        <w:t>Punteros</w:t>
        <w:tab/>
        <w:tab/>
        <w:tab/>
        <w:tab/>
        <w:tab/>
        <w:tab/>
        <w:tab/>
        <w:tab/>
        <w:t>Bs. 740.-</w:t>
      </w:r>
    </w:p>
    <w:p>
      <w:pPr>
        <w:pStyle w:val="Normal"/>
        <w:jc w:val="both"/>
        <w:rPr/>
      </w:pPr>
      <w:r>
        <w:rPr/>
        <w:t>Enmaderadotes</w:t>
        <w:tab/>
        <w:tab/>
        <w:tab/>
        <w:tab/>
        <w:tab/>
        <w:tab/>
        <w:tab/>
        <w:tab/>
        <w:t xml:space="preserve">Bs. 720.- </w:t>
      </w:r>
    </w:p>
    <w:p>
      <w:pPr>
        <w:pStyle w:val="Normal"/>
        <w:jc w:val="both"/>
        <w:rPr/>
      </w:pPr>
      <w:r>
        <w:rPr/>
        <w:t>Ayudantes de Perforistas</w:t>
        <w:tab/>
        <w:tab/>
        <w:tab/>
        <w:tab/>
        <w:tab/>
        <w:tab/>
        <w:t>Bs. 675.-</w:t>
      </w:r>
    </w:p>
    <w:p>
      <w:pPr>
        <w:pStyle w:val="Normal"/>
        <w:jc w:val="both"/>
        <w:rPr/>
      </w:pPr>
      <w:r>
        <w:rPr/>
        <w:t>Ayudantes de Punteros, Wincheros y Bomberos</w:t>
        <w:tab/>
        <w:tab/>
        <w:tab/>
        <w:tab/>
        <w:t>Bs. 650.-</w:t>
      </w:r>
    </w:p>
    <w:p>
      <w:pPr>
        <w:pStyle w:val="Normal"/>
        <w:jc w:val="both"/>
        <w:rPr/>
      </w:pPr>
      <w:r>
        <w:rPr/>
        <w:t>Carretilleros</w:t>
        <w:tab/>
        <w:tab/>
        <w:tab/>
        <w:tab/>
        <w:tab/>
        <w:tab/>
        <w:tab/>
        <w:tab/>
        <w:t>Bs. 600.-</w:t>
      </w:r>
    </w:p>
    <w:p>
      <w:pPr>
        <w:pStyle w:val="Normal"/>
        <w:jc w:val="both"/>
        <w:rPr/>
      </w:pPr>
      <w:r>
        <w:rPr/>
      </w:r>
    </w:p>
    <w:p>
      <w:pPr>
        <w:pStyle w:val="Normal"/>
        <w:ind w:firstLine="708"/>
        <w:jc w:val="both"/>
        <w:rPr/>
      </w:pPr>
      <w:r>
        <w:rPr/>
        <w:t>Estos salarios serán pagados en forma independiente a los reconocimientos o plus que se establezca por producción o avance de de los trabajos y tareas encomendadas, es decir, el Salario Básico se pagará al trabajador aunque éste se encuentre realizando otras labores, estén en curso de tiempo de transporte, con baja médica, descanso o vacaciones.</w:t>
      </w:r>
    </w:p>
    <w:p>
      <w:pPr>
        <w:pStyle w:val="Normal"/>
        <w:jc w:val="both"/>
        <w:rPr/>
      </w:pPr>
      <w:r>
        <w:rPr/>
      </w:r>
    </w:p>
    <w:p>
      <w:pPr>
        <w:pStyle w:val="Normal"/>
        <w:jc w:val="both"/>
        <w:rPr/>
      </w:pPr>
      <w:r>
        <w:rPr/>
        <w:t>2.- RECONOCIMIENTOS O PLUS POR: Avance o Cumplimiento de Tareas y Producción.-</w:t>
      </w:r>
    </w:p>
    <w:p>
      <w:pPr>
        <w:pStyle w:val="Normal"/>
        <w:jc w:val="both"/>
        <w:rPr/>
      </w:pPr>
      <w:r>
        <w:rPr/>
      </w:r>
    </w:p>
    <w:p>
      <w:pPr>
        <w:pStyle w:val="Normal"/>
        <w:ind w:firstLine="708"/>
        <w:jc w:val="both"/>
        <w:rPr/>
      </w:pPr>
      <w:r>
        <w:rPr/>
        <w:t>Los trabajadores serán reconocidos según sea el avance de los trabajos de desarrollo, exploración y la producción de mineral, en este caso se establecen los cuadros demostrativos de los trabajos que serán reconocidos para este fin, así como los reconocimientos a que se harán acreedores.</w:t>
      </w:r>
    </w:p>
    <w:p>
      <w:pPr>
        <w:pStyle w:val="Normal"/>
        <w:jc w:val="both"/>
        <w:rPr/>
      </w:pPr>
      <w:r>
        <w:rPr/>
      </w:r>
    </w:p>
    <w:p>
      <w:pPr>
        <w:pStyle w:val="Normal"/>
        <w:jc w:val="both"/>
        <w:rPr/>
      </w:pPr>
      <w:r>
        <w:rPr/>
        <w:t>2.1.- DESARROLLO Y EXPLOTACIÓN</w:t>
      </w:r>
    </w:p>
    <w:tbl>
      <w:tblPr>
        <w:tblW w:w="958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48"/>
        <w:gridCol w:w="900"/>
        <w:gridCol w:w="1014"/>
        <w:gridCol w:w="1311"/>
        <w:gridCol w:w="1207"/>
      </w:tblGrid>
      <w:tr>
        <w:trPr>
          <w:trHeight w:val="345" w:hRule="atLeast"/>
        </w:trPr>
        <w:tc>
          <w:tcPr>
            <w:tcW w:w="51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rPr>
            </w:pPr>
            <w:r>
              <w:rPr>
                <w:sz w:val="20"/>
              </w:rPr>
              <w:t>DETALLE</w:t>
            </w:r>
          </w:p>
        </w:tc>
        <w:tc>
          <w:tcPr>
            <w:tcW w:w="9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rPr>
            </w:pPr>
            <w:r>
              <w:rPr>
                <w:sz w:val="20"/>
              </w:rPr>
              <w:t>UNIDAD</w:t>
            </w:r>
          </w:p>
        </w:tc>
        <w:tc>
          <w:tcPr>
            <w:tcW w:w="353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rPr>
                <w:sz w:val="20"/>
              </w:rPr>
            </w:pPr>
            <w:r>
              <w:rPr>
                <w:sz w:val="20"/>
              </w:rPr>
              <w:t>PRECIO SEGÚN DISTANCIA A DESMONTE</w:t>
            </w:r>
          </w:p>
        </w:tc>
      </w:tr>
      <w:tr>
        <w:trPr>
          <w:trHeight w:val="345" w:hRule="atLeast"/>
        </w:trPr>
        <w:tc>
          <w:tcPr>
            <w:tcW w:w="51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0"/>
              </w:rPr>
            </w:pPr>
            <w:r>
              <w:rPr>
                <w:sz w:val="20"/>
              </w:rPr>
            </w:r>
          </w:p>
        </w:tc>
        <w:tc>
          <w:tcPr>
            <w:tcW w:w="9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0"/>
              </w:rPr>
            </w:pPr>
            <w:r>
              <w:rPr>
                <w:sz w:val="20"/>
              </w:rPr>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De 0 m A 200 m</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sz w:val="20"/>
              </w:rPr>
              <w:t>De 200 m A 250 m</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rPr>
                <w:sz w:val="20"/>
              </w:rPr>
            </w:pPr>
            <w:r>
              <w:rPr>
                <w:sz w:val="20"/>
              </w:rPr>
              <w:t>DE 250m</w:t>
            </w:r>
          </w:p>
          <w:p>
            <w:pPr>
              <w:pStyle w:val="Normal"/>
              <w:rPr>
                <w:sz w:val="20"/>
              </w:rPr>
            </w:pPr>
            <w:r>
              <w:rPr>
                <w:sz w:val="20"/>
              </w:rPr>
              <w:t>Adelante</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a) Galería con acceso directo a superficie</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104</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117</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130</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b) Galería con acceso por cuadro desde nivel -3 a -30</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117</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130</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156</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c) Sub. Nivel con acceso por cuadro desde -3 a -30</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104</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117</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130</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sz w:val="20"/>
              </w:rPr>
              <w:t>d) Galería con acceso por cuadro de nivel -40 a -80</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156</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234</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234</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e) Sub. Nivel con acceso por cuadro de nivel -40 a -80</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117</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130</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156</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f) Galería con acceso por cuadro desde nivel -81 en adelante</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234</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258</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258</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sz w:val="20"/>
              </w:rPr>
              <w:t>g) Chimeneas y piques con acceso directo desde superficie</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65</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78</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91</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h) Chimenas y piques con acceso por cuadro nivel  -10 adelante</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78</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117</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117</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i) Profundización Cuadro (perforación y limpia) de 0 a 70 mt</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260</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312</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312</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sz w:val="20"/>
              </w:rPr>
              <w:t>j) Profundización Cuadro (perforación y limpia) de 70,1 mt adelante</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312</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364</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364</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k) Rajos y desquinches (En cualquier nivel)</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10.4</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13</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13</w:t>
            </w:r>
          </w:p>
        </w:tc>
      </w:tr>
      <w:tr>
        <w:trPr>
          <w:trHeight w:val="345" w:hRule="atLeast"/>
        </w:trPr>
        <w:tc>
          <w:tcPr>
            <w:tcW w:w="51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l) Rehabilitación de galerías</w:t>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m. lineal</w:t>
            </w:r>
          </w:p>
        </w:tc>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72.8</w:t>
            </w:r>
          </w:p>
        </w:tc>
        <w:tc>
          <w:tcPr>
            <w:tcW w:w="131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74.1</w:t>
            </w:r>
          </w:p>
        </w:tc>
        <w:tc>
          <w:tcPr>
            <w:tcW w:w="12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75.4</w:t>
            </w:r>
          </w:p>
        </w:tc>
      </w:tr>
    </w:tbl>
    <w:p>
      <w:pPr>
        <w:pStyle w:val="Normal"/>
        <w:jc w:val="both"/>
        <w:rPr/>
      </w:pPr>
      <w:r>
        <w:rPr/>
      </w:r>
    </w:p>
    <w:p>
      <w:pPr>
        <w:pStyle w:val="Normal"/>
        <w:rPr/>
      </w:pPr>
      <w:r>
        <w:rPr/>
        <w:t>NOTAS:</w:t>
        <w:tab/>
        <w:t>Dimensiones de las labores</w:t>
      </w:r>
    </w:p>
    <w:p>
      <w:pPr>
        <w:pStyle w:val="Normal"/>
        <w:rPr/>
      </w:pPr>
      <w:r>
        <w:rPr/>
        <w:tab/>
        <w:tab/>
        <w:t>Galería</w:t>
        <w:tab/>
        <w:tab/>
        <w:tab/>
        <w:t>1.80 m x 2.00 m</w:t>
      </w:r>
    </w:p>
    <w:p>
      <w:pPr>
        <w:pStyle w:val="Normal"/>
        <w:rPr/>
      </w:pPr>
      <w:r>
        <w:rPr/>
        <w:tab/>
        <w:tab/>
        <w:t>Sub. Nivel</w:t>
        <w:tab/>
        <w:tab/>
        <w:t>1.60 m x 1.80 m</w:t>
      </w:r>
    </w:p>
    <w:p>
      <w:pPr>
        <w:pStyle w:val="Normal"/>
        <w:rPr/>
      </w:pPr>
      <w:r>
        <w:rPr/>
        <w:tab/>
        <w:tab/>
        <w:t>Chimeneas y piques</w:t>
        <w:tab/>
        <w:t>1.20 m x 1.20 m</w:t>
      </w:r>
    </w:p>
    <w:p>
      <w:pPr>
        <w:pStyle w:val="Normal"/>
        <w:rPr/>
      </w:pPr>
      <w:r>
        <w:rPr/>
        <w:tab/>
        <w:tab/>
        <w:t>Cuadro</w:t>
        <w:tab/>
        <w:tab/>
        <w:tab/>
        <w:t>2.60 m x 2.10 m</w:t>
      </w:r>
    </w:p>
    <w:p>
      <w:pPr>
        <w:pStyle w:val="Normal"/>
        <w:rPr/>
      </w:pPr>
      <w:r>
        <w:rPr/>
        <w:tab/>
        <w:t>Las galerías, chimeneas y cuadros se consideran labores de desarrollo en estéril.</w:t>
      </w:r>
    </w:p>
    <w:p>
      <w:pPr>
        <w:pStyle w:val="Normal"/>
        <w:ind w:firstLine="708"/>
        <w:rPr/>
      </w:pPr>
      <w:r>
        <w:rPr/>
        <w:t>Los sub. Niveles, rajos y desquinches se consideran labores de explotación con mineral.</w:t>
      </w:r>
    </w:p>
    <w:p>
      <w:pPr>
        <w:pStyle w:val="Normal"/>
        <w:rPr/>
      </w:pPr>
      <w:r>
        <w:rPr/>
        <w:tab/>
        <w:t>Los precios incluyen perforación, voladura, y carga puesta en desmonte, transporte.</w:t>
      </w:r>
    </w:p>
    <w:p>
      <w:pPr>
        <w:pStyle w:val="Normal"/>
        <w:rPr/>
      </w:pPr>
      <w:r>
        <w:rPr/>
        <w:tab/>
        <w:t>Con carro minero u otro medio.</w:t>
      </w:r>
    </w:p>
    <w:p>
      <w:pPr>
        <w:pStyle w:val="Normal"/>
        <w:rPr/>
      </w:pPr>
      <w:r>
        <w:rPr/>
      </w:r>
    </w:p>
    <w:p>
      <w:pPr>
        <w:pStyle w:val="Normal"/>
        <w:rPr/>
      </w:pPr>
      <w:r>
        <w:rPr/>
      </w:r>
    </w:p>
    <w:p>
      <w:pPr>
        <w:pStyle w:val="Normal"/>
        <w:rPr/>
      </w:pPr>
      <w:r>
        <w:rPr/>
        <w:t>2.2 ENMADERACIÓN</w:t>
      </w:r>
    </w:p>
    <w:tbl>
      <w:tblPr>
        <w:tblW w:w="906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553"/>
        <w:gridCol w:w="1005"/>
        <w:gridCol w:w="1736"/>
        <w:gridCol w:w="1770"/>
      </w:tblGrid>
      <w:tr>
        <w:trPr>
          <w:trHeight w:val="233" w:hRule="atLeast"/>
        </w:trPr>
        <w:tc>
          <w:tcPr>
            <w:tcW w:w="455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rPr>
            </w:pPr>
            <w:r>
              <w:rPr>
                <w:sz w:val="20"/>
              </w:rPr>
              <w:t>DETALLE</w:t>
            </w:r>
          </w:p>
        </w:tc>
        <w:tc>
          <w:tcPr>
            <w:tcW w:w="100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rPr>
            </w:pPr>
            <w:r>
              <w:rPr>
                <w:sz w:val="20"/>
              </w:rPr>
              <w:t>UNIDAD</w:t>
            </w:r>
          </w:p>
        </w:tc>
        <w:tc>
          <w:tcPr>
            <w:tcW w:w="350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0"/>
              </w:rPr>
            </w:pPr>
            <w:r>
              <w:rPr>
                <w:sz w:val="20"/>
              </w:rPr>
              <w:t>PRECIO UNITARIO</w:t>
            </w:r>
          </w:p>
        </w:tc>
      </w:tr>
      <w:tr>
        <w:trPr>
          <w:trHeight w:val="232" w:hRule="atLeast"/>
        </w:trPr>
        <w:tc>
          <w:tcPr>
            <w:tcW w:w="455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0"/>
              </w:rPr>
            </w:pPr>
            <w:r>
              <w:rPr>
                <w:sz w:val="20"/>
              </w:rPr>
            </w:r>
          </w:p>
        </w:tc>
        <w:tc>
          <w:tcPr>
            <w:tcW w:w="100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0"/>
              </w:rPr>
            </w:pPr>
            <w:r>
              <w:rPr>
                <w:sz w:val="20"/>
              </w:rPr>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0"/>
              </w:rPr>
            </w:pPr>
            <w:r>
              <w:rPr>
                <w:sz w:val="20"/>
              </w:rPr>
              <w:t>ARME</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0"/>
              </w:rPr>
            </w:pPr>
            <w:r>
              <w:rPr>
                <w:sz w:val="20"/>
              </w:rPr>
              <w:t>DESARME</w:t>
            </w:r>
          </w:p>
        </w:tc>
      </w:tr>
      <w:tr>
        <w:trPr>
          <w:trHeight w:val="232" w:hRule="atLeast"/>
        </w:trPr>
        <w:tc>
          <w:tcPr>
            <w:tcW w:w="455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a) Marco completo con madera de 8”. Consta de 2 postes.</w:t>
            </w:r>
          </w:p>
          <w:p>
            <w:pPr>
              <w:pStyle w:val="Normal"/>
              <w:rPr/>
            </w:pPr>
            <w:r>
              <w:rPr>
                <w:sz w:val="20"/>
              </w:rPr>
              <w:t xml:space="preserve">   </w:t>
            </w:r>
            <w:r>
              <w:rPr>
                <w:sz w:val="20"/>
              </w:rPr>
              <w:t>1 cabezal, 2 tirantes, bloqueo en 4 puntos y tablones sobre</w:t>
            </w:r>
          </w:p>
          <w:p>
            <w:pPr>
              <w:pStyle w:val="Normal"/>
              <w:rPr>
                <w:sz w:val="20"/>
              </w:rPr>
            </w:pPr>
            <w:r>
              <w:rPr>
                <w:sz w:val="20"/>
              </w:rPr>
              <w:t xml:space="preserve">    </w:t>
            </w:r>
            <w:r>
              <w:rPr>
                <w:sz w:val="20"/>
              </w:rPr>
              <w:t>Cabezal</w:t>
            </w:r>
          </w:p>
        </w:tc>
        <w:tc>
          <w:tcPr>
            <w:tcW w:w="10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0"/>
              </w:rPr>
            </w:pPr>
            <w:r>
              <w:rPr>
                <w:sz w:val="20"/>
              </w:rPr>
              <w:t>Pza.</w:t>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18,20</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13,00</w:t>
            </w:r>
          </w:p>
        </w:tc>
      </w:tr>
      <w:tr>
        <w:trPr>
          <w:trHeight w:val="232" w:hRule="atLeast"/>
        </w:trPr>
        <w:tc>
          <w:tcPr>
            <w:tcW w:w="455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b) Puntales con madera de 8”</w:t>
            </w:r>
          </w:p>
        </w:tc>
        <w:tc>
          <w:tcPr>
            <w:tcW w:w="10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0"/>
              </w:rPr>
            </w:pPr>
            <w:r>
              <w:rPr>
                <w:sz w:val="20"/>
              </w:rPr>
              <w:t>Pza.</w:t>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7,80</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0</w:t>
            </w:r>
          </w:p>
        </w:tc>
      </w:tr>
      <w:tr>
        <w:trPr>
          <w:trHeight w:val="232" w:hRule="atLeast"/>
        </w:trPr>
        <w:tc>
          <w:tcPr>
            <w:tcW w:w="455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c) Trancas sobre Natacha, en chimeneas o piques</w:t>
            </w:r>
          </w:p>
        </w:tc>
        <w:tc>
          <w:tcPr>
            <w:tcW w:w="10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0"/>
              </w:rPr>
            </w:pPr>
            <w:r>
              <w:rPr>
                <w:sz w:val="20"/>
              </w:rPr>
              <w:t>Pza.</w:t>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9,10</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5,20</w:t>
            </w:r>
          </w:p>
        </w:tc>
      </w:tr>
      <w:tr>
        <w:trPr>
          <w:trHeight w:val="232" w:hRule="atLeast"/>
        </w:trPr>
        <w:tc>
          <w:tcPr>
            <w:tcW w:w="455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d) Soleras de 8” x 2.50 m.</w:t>
            </w:r>
          </w:p>
        </w:tc>
        <w:tc>
          <w:tcPr>
            <w:tcW w:w="10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0"/>
              </w:rPr>
            </w:pPr>
            <w:r>
              <w:rPr>
                <w:sz w:val="20"/>
              </w:rPr>
              <w:t>Pza.</w:t>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10,40</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6,50</w:t>
            </w:r>
          </w:p>
        </w:tc>
      </w:tr>
      <w:tr>
        <w:trPr>
          <w:trHeight w:val="232" w:hRule="atLeast"/>
        </w:trPr>
        <w:tc>
          <w:tcPr>
            <w:tcW w:w="455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sz w:val="20"/>
              </w:rPr>
              <w:t>e) Buzón completo. Consta de 2 marcos completos, traviesa,</w:t>
            </w:r>
          </w:p>
          <w:p>
            <w:pPr>
              <w:pStyle w:val="Normal"/>
              <w:rPr>
                <w:sz w:val="20"/>
              </w:rPr>
            </w:pPr>
            <w:r>
              <w:rPr>
                <w:sz w:val="20"/>
              </w:rPr>
              <w:t xml:space="preserve">     </w:t>
            </w:r>
            <w:r>
              <w:rPr>
                <w:sz w:val="20"/>
              </w:rPr>
              <w:t>Laterales, fondos, jotas y tapa.</w:t>
            </w:r>
          </w:p>
        </w:tc>
        <w:tc>
          <w:tcPr>
            <w:tcW w:w="10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0"/>
              </w:rPr>
            </w:pPr>
            <w:r>
              <w:rPr>
                <w:sz w:val="20"/>
              </w:rPr>
              <w:t>Pza.</w:t>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104,00</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32,50</w:t>
            </w:r>
          </w:p>
        </w:tc>
      </w:tr>
      <w:tr>
        <w:trPr>
          <w:trHeight w:val="232" w:hRule="atLeast"/>
        </w:trPr>
        <w:tc>
          <w:tcPr>
            <w:tcW w:w="455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f) Medio marco con madera de 8”</w:t>
            </w:r>
          </w:p>
        </w:tc>
        <w:tc>
          <w:tcPr>
            <w:tcW w:w="10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0"/>
              </w:rPr>
            </w:pPr>
            <w:r>
              <w:rPr>
                <w:sz w:val="20"/>
              </w:rPr>
              <w:t>Pza.</w:t>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15,60</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10,40</w:t>
            </w:r>
          </w:p>
        </w:tc>
      </w:tr>
      <w:tr>
        <w:trPr>
          <w:trHeight w:val="232" w:hRule="atLeast"/>
        </w:trPr>
        <w:tc>
          <w:tcPr>
            <w:tcW w:w="455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sz w:val="20"/>
              </w:rPr>
            </w:pPr>
            <w:r>
              <w:rPr>
                <w:sz w:val="20"/>
              </w:rPr>
              <w:t>g) Encribado</w:t>
            </w:r>
          </w:p>
        </w:tc>
        <w:tc>
          <w:tcPr>
            <w:tcW w:w="10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sz w:val="20"/>
              </w:rPr>
            </w:pPr>
            <w:r>
              <w:rPr>
                <w:sz w:val="20"/>
              </w:rPr>
              <w:t>M lineal</w:t>
            </w:r>
          </w:p>
        </w:tc>
        <w:tc>
          <w:tcPr>
            <w:tcW w:w="17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right"/>
              <w:rPr>
                <w:sz w:val="20"/>
              </w:rPr>
            </w:pPr>
            <w:r>
              <w:rPr>
                <w:sz w:val="20"/>
              </w:rPr>
              <w:t>21,84</w:t>
            </w:r>
          </w:p>
        </w:tc>
        <w:tc>
          <w:tcPr>
            <w:tcW w:w="1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right"/>
              <w:rPr>
                <w:sz w:val="20"/>
              </w:rPr>
            </w:pPr>
            <w:r>
              <w:rPr>
                <w:sz w:val="20"/>
              </w:rPr>
              <w:t>0</w:t>
            </w:r>
          </w:p>
        </w:tc>
      </w:tr>
    </w:tbl>
    <w:p>
      <w:pPr>
        <w:pStyle w:val="Normal"/>
        <w:rPr/>
      </w:pPr>
      <w:r>
        <w:rPr/>
      </w:r>
    </w:p>
    <w:p>
      <w:pPr>
        <w:pStyle w:val="Normal"/>
        <w:rPr/>
      </w:pPr>
      <w:r>
        <w:rPr/>
      </w:r>
    </w:p>
    <w:p>
      <w:pPr>
        <w:pStyle w:val="Normal"/>
        <w:rPr/>
      </w:pPr>
      <w:r>
        <w:rPr/>
        <w:t xml:space="preserve">NOTAS: </w:t>
        <w:tab/>
        <w:t>Los precios incluyen preparación y transporte del material desde cancha mina.</w:t>
      </w:r>
    </w:p>
    <w:p>
      <w:pPr>
        <w:pStyle w:val="Normal"/>
        <w:rPr/>
      </w:pPr>
      <w:r>
        <w:rPr/>
      </w:r>
    </w:p>
    <w:p>
      <w:pPr>
        <w:pStyle w:val="Normal"/>
        <w:rPr/>
      </w:pPr>
      <w:r>
        <w:rPr/>
      </w:r>
    </w:p>
    <w:tbl>
      <w:tblPr>
        <w:tblW w:w="9812" w:type="dxa"/>
        <w:jc w:val="left"/>
        <w:tblInd w:w="-20" w:type="dxa"/>
        <w:tblBorders/>
        <w:tblCellMar>
          <w:top w:w="0" w:type="dxa"/>
          <w:left w:w="70" w:type="dxa"/>
          <w:bottom w:w="0" w:type="dxa"/>
          <w:right w:w="70" w:type="dxa"/>
        </w:tblCellMar>
      </w:tblPr>
      <w:tblGrid>
        <w:gridCol w:w="1382"/>
        <w:gridCol w:w="973"/>
        <w:gridCol w:w="1140"/>
        <w:gridCol w:w="1310"/>
        <w:gridCol w:w="1310"/>
        <w:gridCol w:w="1200"/>
        <w:gridCol w:w="1200"/>
        <w:gridCol w:w="1287"/>
        <w:gridCol w:w="10"/>
      </w:tblGrid>
      <w:tr>
        <w:trPr>
          <w:trHeight w:val="255" w:hRule="atLeast"/>
        </w:trPr>
        <w:tc>
          <w:tcPr>
            <w:tcW w:w="6115" w:type="dxa"/>
            <w:gridSpan w:val="5"/>
            <w:tcBorders/>
            <w:shd w:fill="auto" w:val="clear"/>
            <w:vAlign w:val="bottom"/>
          </w:tcPr>
          <w:p>
            <w:pPr>
              <w:pStyle w:val="Normal"/>
              <w:rPr/>
            </w:pPr>
            <w:r>
              <w:rPr/>
              <w:t xml:space="preserve">2,3 INATALACION DE TUBERIAS Y LINEA DE CAUVILLE </w:t>
            </w:r>
          </w:p>
        </w:tc>
        <w:tc>
          <w:tcPr>
            <w:tcW w:w="1200" w:type="dxa"/>
            <w:tcBorders/>
            <w:shd w:fill="auto" w:val="clear"/>
            <w:vAlign w:val="bottom"/>
          </w:tcPr>
          <w:p>
            <w:pPr>
              <w:pStyle w:val="Normal"/>
              <w:snapToGrid w:val="false"/>
              <w:rPr/>
            </w:pPr>
            <w:r>
              <w:rPr/>
            </w:r>
          </w:p>
        </w:tc>
        <w:tc>
          <w:tcPr>
            <w:tcW w:w="1200" w:type="dxa"/>
            <w:tcBorders/>
            <w:shd w:fill="auto" w:val="clear"/>
            <w:vAlign w:val="bottom"/>
          </w:tcPr>
          <w:p>
            <w:pPr>
              <w:pStyle w:val="Normal"/>
              <w:snapToGrid w:val="false"/>
              <w:rPr/>
            </w:pPr>
            <w:r>
              <w:rPr/>
            </w:r>
          </w:p>
        </w:tc>
        <w:tc>
          <w:tcPr>
            <w:tcW w:w="1287" w:type="dxa"/>
            <w:tcBorders/>
            <w:shd w:fill="auto" w:val="clear"/>
            <w:vAlign w:val="bottom"/>
          </w:tcPr>
          <w:p>
            <w:pPr>
              <w:pStyle w:val="Normal"/>
              <w:snapToGrid w:val="false"/>
              <w:rPr/>
            </w:pPr>
            <w:r>
              <w:rPr/>
            </w:r>
          </w:p>
        </w:tc>
      </w:tr>
      <w:tr>
        <w:trPr>
          <w:trHeight w:val="255" w:hRule="atLeast"/>
        </w:trPr>
        <w:tc>
          <w:tcPr>
            <w:tcW w:w="3495" w:type="dxa"/>
            <w:gridSpan w:val="3"/>
            <w:tcBorders>
              <w:top w:val="single" w:sz="4" w:space="0" w:color="000000"/>
              <w:left w:val="single" w:sz="4" w:space="0" w:color="000000"/>
            </w:tcBorders>
            <w:shd w:fill="auto" w:val="clear"/>
            <w:tcMar>
              <w:left w:w="65" w:type="dxa"/>
            </w:tcMar>
            <w:vAlign w:val="bottom"/>
          </w:tcPr>
          <w:p>
            <w:pPr>
              <w:pStyle w:val="Normal"/>
              <w:rPr/>
            </w:pPr>
            <w:r>
              <w:rPr/>
              <w:t xml:space="preserve">                                         </w:t>
            </w:r>
            <w:r>
              <w:rPr/>
              <w:t>DETALLE</w:t>
            </w:r>
          </w:p>
        </w:tc>
        <w:tc>
          <w:tcPr>
            <w:tcW w:w="1310" w:type="dxa"/>
            <w:tcBorders>
              <w:top w:val="single" w:sz="4" w:space="0" w:color="000000"/>
            </w:tcBorders>
            <w:shd w:fill="auto" w:val="clear"/>
            <w:vAlign w:val="bottom"/>
          </w:tcPr>
          <w:p>
            <w:pPr>
              <w:pStyle w:val="Normal"/>
              <w:rPr/>
            </w:pPr>
            <w:r>
              <w:rPr/>
              <w:t> </w:t>
            </w:r>
          </w:p>
        </w:tc>
        <w:tc>
          <w:tcPr>
            <w:tcW w:w="1310" w:type="dxa"/>
            <w:tcBorders>
              <w:top w:val="single" w:sz="4" w:space="0" w:color="000000"/>
            </w:tcBorders>
            <w:shd w:fill="auto" w:val="clear"/>
            <w:vAlign w:val="bottom"/>
          </w:tcPr>
          <w:p>
            <w:pPr>
              <w:pStyle w:val="Normal"/>
              <w:rPr/>
            </w:pPr>
            <w:r>
              <w:rPr/>
              <w:t> </w:t>
            </w:r>
          </w:p>
        </w:tc>
        <w:tc>
          <w:tcPr>
            <w:tcW w:w="1200" w:type="dxa"/>
            <w:tcBorders>
              <w:top w:val="single" w:sz="4" w:space="0" w:color="000000"/>
              <w:left w:val="single" w:sz="4" w:space="0" w:color="000000"/>
            </w:tcBorders>
            <w:shd w:fill="auto" w:val="clear"/>
            <w:tcMar>
              <w:left w:w="65" w:type="dxa"/>
            </w:tcMar>
            <w:vAlign w:val="bottom"/>
          </w:tcPr>
          <w:p>
            <w:pPr>
              <w:pStyle w:val="Normal"/>
              <w:rPr/>
            </w:pPr>
            <w:r>
              <w:rPr/>
              <w:t>UNIDAD</w:t>
            </w:r>
          </w:p>
        </w:tc>
        <w:tc>
          <w:tcPr>
            <w:tcW w:w="24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rPr/>
            </w:pPr>
            <w:r>
              <w:rPr/>
              <w:t>PRECIO UNITARIO (Bs.)</w:t>
            </w:r>
          </w:p>
        </w:tc>
      </w:tr>
      <w:tr>
        <w:trPr>
          <w:trHeight w:val="255" w:hRule="atLeast"/>
        </w:trPr>
        <w:tc>
          <w:tcPr>
            <w:tcW w:w="1382" w:type="dxa"/>
            <w:tcBorders>
              <w:left w:val="single" w:sz="4" w:space="0" w:color="000000"/>
            </w:tcBorders>
            <w:shd w:fill="auto" w:val="clear"/>
            <w:tcMar>
              <w:left w:w="65" w:type="dxa"/>
            </w:tcMar>
            <w:vAlign w:val="bottom"/>
          </w:tcPr>
          <w:p>
            <w:pPr>
              <w:pStyle w:val="Normal"/>
              <w:rPr/>
            </w:pPr>
            <w:r>
              <w:rPr/>
              <w:t> </w:t>
            </w:r>
          </w:p>
        </w:tc>
        <w:tc>
          <w:tcPr>
            <w:tcW w:w="973" w:type="dxa"/>
            <w:tcBorders/>
            <w:shd w:fill="auto" w:val="clear"/>
            <w:vAlign w:val="bottom"/>
          </w:tcPr>
          <w:p>
            <w:pPr>
              <w:pStyle w:val="Normal"/>
              <w:snapToGrid w:val="false"/>
              <w:rPr/>
            </w:pPr>
            <w:r>
              <w:rPr/>
            </w:r>
          </w:p>
        </w:tc>
        <w:tc>
          <w:tcPr>
            <w:tcW w:w="1140" w:type="dxa"/>
            <w:tcBorders/>
            <w:shd w:fill="auto" w:val="clear"/>
            <w:vAlign w:val="bottom"/>
          </w:tcPr>
          <w:p>
            <w:pPr>
              <w:pStyle w:val="Normal"/>
              <w:snapToGrid w:val="false"/>
              <w:rPr/>
            </w:pPr>
            <w:r>
              <w:rPr/>
            </w:r>
          </w:p>
        </w:tc>
        <w:tc>
          <w:tcPr>
            <w:tcW w:w="1310" w:type="dxa"/>
            <w:tcBorders/>
            <w:shd w:fill="auto" w:val="clear"/>
            <w:vAlign w:val="bottom"/>
          </w:tcPr>
          <w:p>
            <w:pPr>
              <w:pStyle w:val="Normal"/>
              <w:snapToGrid w:val="false"/>
              <w:rPr/>
            </w:pPr>
            <w:r>
              <w:rPr/>
            </w:r>
          </w:p>
        </w:tc>
        <w:tc>
          <w:tcPr>
            <w:tcW w:w="1310" w:type="dxa"/>
            <w:tcBorders/>
            <w:shd w:fill="auto" w:val="clear"/>
            <w:vAlign w:val="bottom"/>
          </w:tcPr>
          <w:p>
            <w:pPr>
              <w:pStyle w:val="Normal"/>
              <w:rPr/>
            </w:pPr>
            <w:r>
              <w:rPr/>
              <w:t> </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1200" w:type="dxa"/>
            <w:tcBorders>
              <w:left w:val="single" w:sz="4" w:space="0" w:color="000000"/>
            </w:tcBorders>
            <w:shd w:fill="auto" w:val="clear"/>
            <w:tcMar>
              <w:left w:w="65" w:type="dxa"/>
            </w:tcMar>
            <w:vAlign w:val="bottom"/>
          </w:tcPr>
          <w:p>
            <w:pPr>
              <w:pStyle w:val="Normal"/>
              <w:jc w:val="center"/>
              <w:rPr/>
            </w:pPr>
            <w:r>
              <w:rPr/>
              <w:t>ARME</w:t>
            </w:r>
          </w:p>
        </w:tc>
        <w:tc>
          <w:tcPr>
            <w:tcW w:w="1297"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center"/>
              <w:rPr/>
            </w:pPr>
            <w:r>
              <w:rPr/>
              <w:t xml:space="preserve">DESARME </w:t>
            </w:r>
          </w:p>
        </w:tc>
      </w:tr>
      <w:tr>
        <w:trPr>
          <w:trHeight w:val="255" w:hRule="atLeast"/>
        </w:trPr>
        <w:tc>
          <w:tcPr>
            <w:tcW w:w="2355" w:type="dxa"/>
            <w:gridSpan w:val="2"/>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a)Tubería de 1/2" a 1" </w:t>
            </w:r>
          </w:p>
        </w:tc>
        <w:tc>
          <w:tcPr>
            <w:tcW w:w="1140" w:type="dxa"/>
            <w:tcBorders>
              <w:top w:val="single" w:sz="4" w:space="0" w:color="000000"/>
              <w:bottom w:val="single" w:sz="4" w:space="0" w:color="000000"/>
              <w:insideH w:val="single" w:sz="4" w:space="0" w:color="000000"/>
            </w:tcBorders>
            <w:shd w:fill="auto" w:val="clear"/>
            <w:vAlign w:val="bottom"/>
          </w:tcPr>
          <w:p>
            <w:pPr>
              <w:pStyle w:val="Normal"/>
              <w:rPr/>
            </w:pPr>
            <w:r>
              <w:rPr/>
              <w:t> </w:t>
            </w:r>
          </w:p>
        </w:tc>
        <w:tc>
          <w:tcPr>
            <w:tcW w:w="1310" w:type="dxa"/>
            <w:tcBorders>
              <w:top w:val="single" w:sz="4" w:space="0" w:color="000000"/>
              <w:bottom w:val="single" w:sz="4" w:space="0" w:color="000000"/>
              <w:insideH w:val="single" w:sz="4" w:space="0" w:color="000000"/>
            </w:tcBorders>
            <w:shd w:fill="auto" w:val="clear"/>
            <w:vAlign w:val="bottom"/>
          </w:tcPr>
          <w:p>
            <w:pPr>
              <w:pStyle w:val="Normal"/>
              <w:rPr/>
            </w:pPr>
            <w:r>
              <w:rPr/>
              <w:t> </w:t>
            </w:r>
          </w:p>
        </w:tc>
        <w:tc>
          <w:tcPr>
            <w:tcW w:w="1310" w:type="dxa"/>
            <w:tcBorders>
              <w:top w:val="single" w:sz="4" w:space="0" w:color="000000"/>
              <w:bottom w:val="single" w:sz="4" w:space="0" w:color="000000"/>
              <w:insideH w:val="single" w:sz="4" w:space="0" w:color="000000"/>
            </w:tcBorders>
            <w:shd w:fill="auto" w:val="clear"/>
            <w:vAlign w:val="bottom"/>
          </w:tcPr>
          <w:p>
            <w:pPr>
              <w:pStyle w:val="Normal"/>
              <w:rPr/>
            </w:pPr>
            <w:r>
              <w:rPr/>
              <w:t> </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Pza.</w:t>
            </w:r>
          </w:p>
        </w:tc>
        <w:tc>
          <w:tcPr>
            <w:tcW w:w="120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right"/>
              <w:rPr/>
            </w:pPr>
            <w:r>
              <w:rPr/>
              <w:t>10,4</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right"/>
              <w:rPr/>
            </w:pPr>
            <w:r>
              <w:rPr/>
              <w:t>6,5</w:t>
            </w:r>
          </w:p>
        </w:tc>
      </w:tr>
      <w:tr>
        <w:trPr>
          <w:trHeight w:val="255" w:hRule="atLeast"/>
        </w:trPr>
        <w:tc>
          <w:tcPr>
            <w:tcW w:w="2355" w:type="dxa"/>
            <w:gridSpan w:val="2"/>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b) Tubería de 1 ½" a 2"      </w:t>
            </w:r>
          </w:p>
        </w:tc>
        <w:tc>
          <w:tcPr>
            <w:tcW w:w="1140" w:type="dxa"/>
            <w:tcBorders>
              <w:bottom w:val="single" w:sz="4" w:space="0" w:color="000000"/>
              <w:insideH w:val="single" w:sz="4" w:space="0" w:color="000000"/>
            </w:tcBorders>
            <w:shd w:fill="auto" w:val="clear"/>
            <w:vAlign w:val="bottom"/>
          </w:tcPr>
          <w:p>
            <w:pPr>
              <w:pStyle w:val="Normal"/>
              <w:rPr/>
            </w:pPr>
            <w:r>
              <w:rPr/>
              <w:t> </w:t>
            </w:r>
          </w:p>
        </w:tc>
        <w:tc>
          <w:tcPr>
            <w:tcW w:w="1310" w:type="dxa"/>
            <w:tcBorders>
              <w:bottom w:val="single" w:sz="4" w:space="0" w:color="000000"/>
              <w:insideH w:val="single" w:sz="4" w:space="0" w:color="000000"/>
            </w:tcBorders>
            <w:shd w:fill="auto" w:val="clear"/>
            <w:vAlign w:val="bottom"/>
          </w:tcPr>
          <w:p>
            <w:pPr>
              <w:pStyle w:val="Normal"/>
              <w:rPr/>
            </w:pPr>
            <w:r>
              <w:rPr/>
              <w:t> </w:t>
            </w:r>
          </w:p>
        </w:tc>
        <w:tc>
          <w:tcPr>
            <w:tcW w:w="1310" w:type="dxa"/>
            <w:tcBorders>
              <w:bottom w:val="single" w:sz="4" w:space="0" w:color="000000"/>
              <w:insideH w:val="single" w:sz="4" w:space="0" w:color="000000"/>
            </w:tcBorders>
            <w:shd w:fill="auto" w:val="clear"/>
            <w:vAlign w:val="bottom"/>
          </w:tcPr>
          <w:p>
            <w:pPr>
              <w:pStyle w:val="Normal"/>
              <w:rPr/>
            </w:pPr>
            <w:r>
              <w:rPr/>
              <w:t> </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Pza.</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right"/>
              <w:rPr/>
            </w:pPr>
            <w:r>
              <w:rPr/>
              <w:t>13</w:t>
            </w:r>
          </w:p>
        </w:tc>
        <w:tc>
          <w:tcPr>
            <w:tcW w:w="12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right"/>
              <w:rPr/>
            </w:pPr>
            <w:r>
              <w:rPr/>
              <w:t>7,8</w:t>
            </w:r>
          </w:p>
        </w:tc>
      </w:tr>
      <w:tr>
        <w:trPr>
          <w:trHeight w:val="255" w:hRule="atLeast"/>
        </w:trPr>
        <w:tc>
          <w:tcPr>
            <w:tcW w:w="6115" w:type="dxa"/>
            <w:gridSpan w:val="5"/>
            <w:tcBorders>
              <w:top w:val="single" w:sz="4" w:space="0" w:color="000000"/>
              <w:left w:val="single" w:sz="4" w:space="0" w:color="000000"/>
            </w:tcBorders>
            <w:shd w:fill="auto" w:val="clear"/>
            <w:tcMar>
              <w:left w:w="65" w:type="dxa"/>
            </w:tcMar>
            <w:vAlign w:val="bottom"/>
          </w:tcPr>
          <w:p>
            <w:pPr>
              <w:pStyle w:val="Normal"/>
              <w:rPr/>
            </w:pPr>
            <w:r>
              <w:rPr/>
              <w:t xml:space="preserve">c) Instalación línea de cauville. El precio incluye transporte, </w:t>
            </w:r>
          </w:p>
        </w:tc>
        <w:tc>
          <w:tcPr>
            <w:tcW w:w="1200" w:type="dxa"/>
            <w:tcBorders>
              <w:left w:val="single" w:sz="4" w:space="0" w:color="000000"/>
            </w:tcBorders>
            <w:shd w:fill="auto" w:val="clear"/>
            <w:tcMar>
              <w:left w:w="65" w:type="dxa"/>
            </w:tcMar>
            <w:vAlign w:val="bottom"/>
          </w:tcPr>
          <w:p>
            <w:pPr>
              <w:pStyle w:val="Normal"/>
              <w:rPr/>
            </w:pPr>
            <w:r>
              <w:rPr/>
              <w:t>Metro</w:t>
            </w:r>
          </w:p>
        </w:tc>
        <w:tc>
          <w:tcPr>
            <w:tcW w:w="1200" w:type="dxa"/>
            <w:tcBorders>
              <w:left w:val="single" w:sz="4" w:space="0" w:color="000000"/>
            </w:tcBorders>
            <w:shd w:fill="auto" w:val="clear"/>
            <w:tcMar>
              <w:left w:w="65" w:type="dxa"/>
            </w:tcMar>
            <w:vAlign w:val="bottom"/>
          </w:tcPr>
          <w:p>
            <w:pPr>
              <w:pStyle w:val="Normal"/>
              <w:jc w:val="right"/>
              <w:rPr/>
            </w:pPr>
            <w:r>
              <w:rPr/>
              <w:t>3,9</w:t>
            </w:r>
          </w:p>
        </w:tc>
        <w:tc>
          <w:tcPr>
            <w:tcW w:w="1297"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2,6</w:t>
            </w:r>
          </w:p>
        </w:tc>
      </w:tr>
      <w:tr>
        <w:trPr>
          <w:trHeight w:val="255" w:hRule="atLeast"/>
        </w:trPr>
        <w:tc>
          <w:tcPr>
            <w:tcW w:w="6115" w:type="dxa"/>
            <w:gridSpan w:val="5"/>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    </w:t>
            </w:r>
            <w:r>
              <w:rPr/>
              <w:t xml:space="preserve">Nivelación, colocación de durmientes de madera cada 80cm. </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Doble </w:t>
            </w:r>
          </w:p>
        </w:tc>
        <w:tc>
          <w:tcPr>
            <w:tcW w:w="120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12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rPr/>
            </w:pPr>
            <w:r>
              <w:rPr/>
              <w:t> </w:t>
            </w:r>
          </w:p>
        </w:tc>
      </w:tr>
    </w:tbl>
    <w:p>
      <w:pPr>
        <w:pStyle w:val="Normal"/>
        <w:rPr/>
      </w:pPr>
      <w:r>
        <w:rPr/>
      </w:r>
    </w:p>
    <w:p>
      <w:pPr>
        <w:pStyle w:val="Normal"/>
        <w:rPr/>
      </w:pPr>
      <w:r>
        <w:rPr/>
      </w:r>
    </w:p>
    <w:p>
      <w:pPr>
        <w:pStyle w:val="Normal"/>
        <w:rPr/>
      </w:pPr>
      <w:r>
        <w:rPr/>
      </w:r>
    </w:p>
    <w:tbl>
      <w:tblPr>
        <w:tblW w:w="10639" w:type="dxa"/>
        <w:jc w:val="left"/>
        <w:tblInd w:w="-20" w:type="dxa"/>
        <w:tblBorders/>
        <w:tblCellMar>
          <w:top w:w="0" w:type="dxa"/>
          <w:left w:w="70" w:type="dxa"/>
          <w:bottom w:w="0" w:type="dxa"/>
          <w:right w:w="70" w:type="dxa"/>
        </w:tblCellMar>
      </w:tblPr>
      <w:tblGrid>
        <w:gridCol w:w="1447"/>
        <w:gridCol w:w="1580"/>
        <w:gridCol w:w="997"/>
        <w:gridCol w:w="1220"/>
        <w:gridCol w:w="1427"/>
        <w:gridCol w:w="386"/>
        <w:gridCol w:w="680"/>
        <w:gridCol w:w="1552"/>
        <w:gridCol w:w="1340"/>
        <w:gridCol w:w="10"/>
      </w:tblGrid>
      <w:tr>
        <w:trPr>
          <w:trHeight w:val="255" w:hRule="atLeast"/>
        </w:trPr>
        <w:tc>
          <w:tcPr>
            <w:tcW w:w="3027" w:type="dxa"/>
            <w:gridSpan w:val="2"/>
            <w:tcBorders/>
            <w:shd w:fill="auto" w:val="clear"/>
            <w:vAlign w:val="bottom"/>
          </w:tcPr>
          <w:p>
            <w:pPr>
              <w:pStyle w:val="Normal"/>
              <w:rPr/>
            </w:pPr>
            <w:r>
              <w:rPr/>
              <w:t xml:space="preserve">2,4.- LAVADO DE MINERAL </w:t>
            </w:r>
          </w:p>
        </w:tc>
        <w:tc>
          <w:tcPr>
            <w:tcW w:w="997" w:type="dxa"/>
            <w:tcBorders/>
            <w:shd w:fill="auto" w:val="clear"/>
            <w:vAlign w:val="bottom"/>
          </w:tcPr>
          <w:p>
            <w:pPr>
              <w:pStyle w:val="Normal"/>
              <w:snapToGrid w:val="false"/>
              <w:rPr/>
            </w:pPr>
            <w:r>
              <w:rPr/>
            </w:r>
          </w:p>
        </w:tc>
        <w:tc>
          <w:tcPr>
            <w:tcW w:w="1220" w:type="dxa"/>
            <w:tcBorders/>
            <w:shd w:fill="auto" w:val="clear"/>
            <w:vAlign w:val="bottom"/>
          </w:tcPr>
          <w:p>
            <w:pPr>
              <w:pStyle w:val="Normal"/>
              <w:snapToGrid w:val="false"/>
              <w:rPr/>
            </w:pPr>
            <w:r>
              <w:rPr/>
            </w:r>
          </w:p>
        </w:tc>
        <w:tc>
          <w:tcPr>
            <w:tcW w:w="1427" w:type="dxa"/>
            <w:tcBorders/>
            <w:shd w:fill="auto" w:val="clear"/>
            <w:vAlign w:val="bottom"/>
          </w:tcPr>
          <w:p>
            <w:pPr>
              <w:pStyle w:val="Normal"/>
              <w:snapToGrid w:val="false"/>
              <w:rPr/>
            </w:pPr>
            <w:r>
              <w:rPr/>
            </w:r>
          </w:p>
        </w:tc>
        <w:tc>
          <w:tcPr>
            <w:tcW w:w="386" w:type="dxa"/>
            <w:tcBorders/>
            <w:shd w:fill="auto" w:val="clear"/>
            <w:vAlign w:val="bottom"/>
          </w:tcPr>
          <w:p>
            <w:pPr>
              <w:pStyle w:val="Normal"/>
              <w:snapToGrid w:val="false"/>
              <w:rPr/>
            </w:pPr>
            <w:r>
              <w:rPr/>
            </w:r>
          </w:p>
        </w:tc>
        <w:tc>
          <w:tcPr>
            <w:tcW w:w="680" w:type="dxa"/>
            <w:tcBorders/>
            <w:shd w:fill="auto" w:val="cle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tc>
      </w:tr>
      <w:tr>
        <w:trPr>
          <w:trHeight w:val="255" w:hRule="atLeast"/>
        </w:trPr>
        <w:tc>
          <w:tcPr>
            <w:tcW w:w="3027" w:type="dxa"/>
            <w:gridSpan w:val="2"/>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                      </w:t>
            </w:r>
            <w:r>
              <w:rPr/>
              <w:t xml:space="preserve">DETALLE </w:t>
            </w:r>
          </w:p>
        </w:tc>
        <w:tc>
          <w:tcPr>
            <w:tcW w:w="997" w:type="dxa"/>
            <w:tcBorders>
              <w:top w:val="single" w:sz="4" w:space="0" w:color="000000"/>
              <w:bottom w:val="single" w:sz="4" w:space="0" w:color="000000"/>
              <w:insideH w:val="single" w:sz="4" w:space="0" w:color="000000"/>
            </w:tcBorders>
            <w:shd w:fill="auto" w:val="clear"/>
            <w:vAlign w:val="bottom"/>
          </w:tcPr>
          <w:p>
            <w:pPr>
              <w:pStyle w:val="Normal"/>
              <w:rPr/>
            </w:pPr>
            <w:r>
              <w:rPr/>
              <w:t> </w:t>
            </w:r>
          </w:p>
        </w:tc>
        <w:tc>
          <w:tcPr>
            <w:tcW w:w="12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UNIDAD </w:t>
            </w:r>
          </w:p>
        </w:tc>
        <w:tc>
          <w:tcPr>
            <w:tcW w:w="1427"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      </w:t>
            </w:r>
            <w:r>
              <w:rPr/>
              <w:t xml:space="preserve">PRECIO UNITARIO </w:t>
            </w:r>
          </w:p>
        </w:tc>
        <w:tc>
          <w:tcPr>
            <w:tcW w:w="38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pPr>
            <w:r>
              <w:rPr/>
              <w:t> </w:t>
            </w:r>
          </w:p>
        </w:tc>
        <w:tc>
          <w:tcPr>
            <w:tcW w:w="680" w:type="dxa"/>
            <w:tcBorders>
              <w:left w:val="single" w:sz="4" w:space="0" w:color="000000"/>
            </w:tcBorders>
            <w:shd w:fill="auto" w:val="clear"/>
            <w:tcMar>
              <w:left w:w="65" w:type="dxa"/>
            </w:tcM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tc>
      </w:tr>
      <w:tr>
        <w:trPr>
          <w:trHeight w:val="255"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Lavado de mineral                                                      </w:t>
            </w:r>
          </w:p>
        </w:tc>
        <w:tc>
          <w:tcPr>
            <w:tcW w:w="15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997"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122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m3</w:t>
            </w:r>
          </w:p>
        </w:tc>
        <w:tc>
          <w:tcPr>
            <w:tcW w:w="1427"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right"/>
              <w:rPr/>
            </w:pPr>
            <w:r>
              <w:rPr/>
              <w:t>26</w:t>
            </w:r>
          </w:p>
        </w:tc>
        <w:tc>
          <w:tcPr>
            <w:tcW w:w="386"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680" w:type="dxa"/>
            <w:tcBorders>
              <w:left w:val="single" w:sz="4" w:space="0" w:color="000000"/>
            </w:tcBorders>
            <w:shd w:fill="auto" w:val="clear"/>
            <w:tcMar>
              <w:left w:w="65" w:type="dxa"/>
            </w:tcM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tc>
      </w:tr>
      <w:tr>
        <w:trPr>
          <w:trHeight w:val="255" w:hRule="atLeast"/>
        </w:trPr>
        <w:tc>
          <w:tcPr>
            <w:tcW w:w="1447" w:type="dxa"/>
            <w:tcBorders/>
            <w:shd w:fill="auto" w:val="clear"/>
            <w:vAlign w:val="bottom"/>
          </w:tcPr>
          <w:p>
            <w:pPr>
              <w:pStyle w:val="Normal"/>
              <w:snapToGrid w:val="false"/>
              <w:rPr/>
            </w:pPr>
            <w:r>
              <w:rPr/>
            </w:r>
          </w:p>
          <w:p>
            <w:pPr>
              <w:pStyle w:val="Normal"/>
              <w:rPr/>
            </w:pPr>
            <w:r>
              <w:rPr/>
            </w:r>
          </w:p>
        </w:tc>
        <w:tc>
          <w:tcPr>
            <w:tcW w:w="1580" w:type="dxa"/>
            <w:tcBorders/>
            <w:shd w:fill="auto" w:val="clear"/>
            <w:vAlign w:val="bottom"/>
          </w:tcPr>
          <w:p>
            <w:pPr>
              <w:pStyle w:val="Normal"/>
              <w:snapToGrid w:val="false"/>
              <w:rPr/>
            </w:pPr>
            <w:r>
              <w:rPr/>
            </w:r>
          </w:p>
        </w:tc>
        <w:tc>
          <w:tcPr>
            <w:tcW w:w="997" w:type="dxa"/>
            <w:tcBorders/>
            <w:shd w:fill="auto" w:val="clear"/>
            <w:vAlign w:val="bottom"/>
          </w:tcPr>
          <w:p>
            <w:pPr>
              <w:pStyle w:val="Normal"/>
              <w:snapToGrid w:val="false"/>
              <w:rPr/>
            </w:pPr>
            <w:r>
              <w:rPr/>
            </w:r>
          </w:p>
        </w:tc>
        <w:tc>
          <w:tcPr>
            <w:tcW w:w="1220" w:type="dxa"/>
            <w:tcBorders/>
            <w:shd w:fill="auto" w:val="clear"/>
            <w:vAlign w:val="bottom"/>
          </w:tcPr>
          <w:p>
            <w:pPr>
              <w:pStyle w:val="Normal"/>
              <w:snapToGrid w:val="false"/>
              <w:rPr/>
            </w:pPr>
            <w:r>
              <w:rPr/>
            </w:r>
          </w:p>
        </w:tc>
        <w:tc>
          <w:tcPr>
            <w:tcW w:w="1427" w:type="dxa"/>
            <w:tcBorders/>
            <w:shd w:fill="auto" w:val="clear"/>
            <w:vAlign w:val="bottom"/>
          </w:tcPr>
          <w:p>
            <w:pPr>
              <w:pStyle w:val="Normal"/>
              <w:snapToGrid w:val="false"/>
              <w:rPr/>
            </w:pPr>
            <w:r>
              <w:rPr/>
            </w:r>
          </w:p>
        </w:tc>
        <w:tc>
          <w:tcPr>
            <w:tcW w:w="386" w:type="dxa"/>
            <w:tcBorders/>
            <w:shd w:fill="auto" w:val="clear"/>
            <w:vAlign w:val="bottom"/>
          </w:tcPr>
          <w:p>
            <w:pPr>
              <w:pStyle w:val="Normal"/>
              <w:snapToGrid w:val="false"/>
              <w:rPr/>
            </w:pPr>
            <w:r>
              <w:rPr/>
            </w:r>
          </w:p>
        </w:tc>
        <w:tc>
          <w:tcPr>
            <w:tcW w:w="680" w:type="dxa"/>
            <w:tcBorders/>
            <w:shd w:fill="auto" w:val="cle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tc>
      </w:tr>
      <w:tr>
        <w:trPr>
          <w:trHeight w:val="255" w:hRule="atLeast"/>
        </w:trPr>
        <w:tc>
          <w:tcPr>
            <w:tcW w:w="6671" w:type="dxa"/>
            <w:gridSpan w:val="5"/>
            <w:tcBorders/>
            <w:shd w:fill="auto" w:val="clear"/>
            <w:vAlign w:val="bottom"/>
          </w:tcPr>
          <w:p>
            <w:pPr>
              <w:pStyle w:val="Normal"/>
              <w:rPr/>
            </w:pPr>
            <w:r>
              <w:rPr/>
              <w:t>2,5.- PLUS POR ENTREGA DE MINERALES – GEMAS</w:t>
            </w:r>
          </w:p>
        </w:tc>
        <w:tc>
          <w:tcPr>
            <w:tcW w:w="386" w:type="dxa"/>
            <w:tcBorders/>
            <w:shd w:fill="auto" w:val="clear"/>
            <w:vAlign w:val="bottom"/>
          </w:tcPr>
          <w:p>
            <w:pPr>
              <w:pStyle w:val="Normal"/>
              <w:snapToGrid w:val="false"/>
              <w:rPr/>
            </w:pPr>
            <w:r>
              <w:rPr/>
            </w:r>
          </w:p>
        </w:tc>
        <w:tc>
          <w:tcPr>
            <w:tcW w:w="680" w:type="dxa"/>
            <w:tcBorders/>
            <w:shd w:fill="auto" w:val="cle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tc>
      </w:tr>
      <w:tr>
        <w:trPr>
          <w:trHeight w:val="255" w:hRule="atLeast"/>
        </w:trPr>
        <w:tc>
          <w:tcPr>
            <w:tcW w:w="1447" w:type="dxa"/>
            <w:tcBorders/>
            <w:shd w:fill="auto" w:val="clear"/>
            <w:vAlign w:val="bottom"/>
          </w:tcPr>
          <w:p>
            <w:pPr>
              <w:pStyle w:val="Normal"/>
              <w:snapToGrid w:val="false"/>
              <w:rPr/>
            </w:pPr>
            <w:r>
              <w:rPr/>
            </w:r>
          </w:p>
        </w:tc>
        <w:tc>
          <w:tcPr>
            <w:tcW w:w="1580" w:type="dxa"/>
            <w:tcBorders/>
            <w:shd w:fill="auto" w:val="clear"/>
            <w:vAlign w:val="bottom"/>
          </w:tcPr>
          <w:p>
            <w:pPr>
              <w:pStyle w:val="Normal"/>
              <w:snapToGrid w:val="false"/>
              <w:rPr/>
            </w:pPr>
            <w:r>
              <w:rPr/>
            </w:r>
          </w:p>
        </w:tc>
        <w:tc>
          <w:tcPr>
            <w:tcW w:w="997" w:type="dxa"/>
            <w:tcBorders/>
            <w:shd w:fill="auto" w:val="clear"/>
            <w:vAlign w:val="bottom"/>
          </w:tcPr>
          <w:p>
            <w:pPr>
              <w:pStyle w:val="Normal"/>
              <w:snapToGrid w:val="false"/>
              <w:rPr/>
            </w:pPr>
            <w:r>
              <w:rPr/>
            </w:r>
          </w:p>
        </w:tc>
        <w:tc>
          <w:tcPr>
            <w:tcW w:w="1220" w:type="dxa"/>
            <w:tcBorders/>
            <w:shd w:fill="auto" w:val="clear"/>
            <w:vAlign w:val="bottom"/>
          </w:tcPr>
          <w:p>
            <w:pPr>
              <w:pStyle w:val="Normal"/>
              <w:snapToGrid w:val="false"/>
              <w:rPr/>
            </w:pPr>
            <w:r>
              <w:rPr/>
            </w:r>
          </w:p>
        </w:tc>
        <w:tc>
          <w:tcPr>
            <w:tcW w:w="1427" w:type="dxa"/>
            <w:tcBorders/>
            <w:shd w:fill="auto" w:val="clear"/>
            <w:vAlign w:val="bottom"/>
          </w:tcPr>
          <w:p>
            <w:pPr>
              <w:pStyle w:val="Normal"/>
              <w:snapToGrid w:val="false"/>
              <w:rPr/>
            </w:pPr>
            <w:r>
              <w:rPr/>
            </w:r>
          </w:p>
        </w:tc>
        <w:tc>
          <w:tcPr>
            <w:tcW w:w="386" w:type="dxa"/>
            <w:tcBorders/>
            <w:shd w:fill="auto" w:val="clear"/>
            <w:vAlign w:val="bottom"/>
          </w:tcPr>
          <w:p>
            <w:pPr>
              <w:pStyle w:val="Normal"/>
              <w:snapToGrid w:val="false"/>
              <w:rPr/>
            </w:pPr>
            <w:r>
              <w:rPr/>
            </w:r>
          </w:p>
        </w:tc>
        <w:tc>
          <w:tcPr>
            <w:tcW w:w="680" w:type="dxa"/>
            <w:tcBorders/>
            <w:shd w:fill="auto" w:val="cle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tc>
      </w:tr>
      <w:tr>
        <w:trPr>
          <w:trHeight w:val="255" w:hRule="atLeast"/>
        </w:trPr>
        <w:tc>
          <w:tcPr>
            <w:tcW w:w="1447" w:type="dxa"/>
            <w:tcBorders>
              <w:top w:val="single" w:sz="4" w:space="0" w:color="000000"/>
              <w:left w:val="single" w:sz="4" w:space="0" w:color="000000"/>
            </w:tcBorders>
            <w:shd w:fill="auto" w:val="clear"/>
            <w:tcMar>
              <w:left w:w="65" w:type="dxa"/>
            </w:tcMar>
            <w:vAlign w:val="bottom"/>
          </w:tcPr>
          <w:p>
            <w:pPr>
              <w:pStyle w:val="Normal"/>
              <w:rPr/>
            </w:pPr>
            <w:r>
              <w:rPr/>
              <w:t xml:space="preserve">CALIDAD </w:t>
            </w:r>
          </w:p>
        </w:tc>
        <w:tc>
          <w:tcPr>
            <w:tcW w:w="1580" w:type="dxa"/>
            <w:tcBorders>
              <w:top w:val="single" w:sz="4" w:space="0" w:color="000000"/>
              <w:left w:val="single" w:sz="4" w:space="0" w:color="000000"/>
            </w:tcBorders>
            <w:shd w:fill="auto" w:val="clear"/>
            <w:tcMar>
              <w:left w:w="65" w:type="dxa"/>
            </w:tcMar>
            <w:vAlign w:val="bottom"/>
          </w:tcPr>
          <w:p>
            <w:pPr>
              <w:pStyle w:val="Normal"/>
              <w:rPr/>
            </w:pPr>
            <w:r>
              <w:rPr/>
              <w:t> </w:t>
            </w:r>
          </w:p>
        </w:tc>
        <w:tc>
          <w:tcPr>
            <w:tcW w:w="997" w:type="dxa"/>
            <w:tcBorders>
              <w:top w:val="single" w:sz="4" w:space="0" w:color="000000"/>
            </w:tcBorders>
            <w:shd w:fill="auto" w:val="clear"/>
            <w:vAlign w:val="bottom"/>
          </w:tcPr>
          <w:p>
            <w:pPr>
              <w:pStyle w:val="Normal"/>
              <w:rPr/>
            </w:pPr>
            <w:r>
              <w:rPr/>
              <w:t> </w:t>
            </w:r>
          </w:p>
        </w:tc>
        <w:tc>
          <w:tcPr>
            <w:tcW w:w="1220" w:type="dxa"/>
            <w:tcBorders>
              <w:top w:val="single" w:sz="4" w:space="0" w:color="000000"/>
            </w:tcBorders>
            <w:shd w:fill="auto" w:val="clear"/>
            <w:vAlign w:val="bottom"/>
          </w:tcPr>
          <w:p>
            <w:pPr>
              <w:pStyle w:val="Normal"/>
              <w:rPr/>
            </w:pPr>
            <w:r>
              <w:rPr/>
              <w:t xml:space="preserve">  </w:t>
            </w:r>
            <w:r>
              <w:rPr/>
              <w:t xml:space="preserve">DETALLE </w:t>
            </w:r>
          </w:p>
        </w:tc>
        <w:tc>
          <w:tcPr>
            <w:tcW w:w="1427" w:type="dxa"/>
            <w:tcBorders>
              <w:top w:val="single" w:sz="4" w:space="0" w:color="000000"/>
            </w:tcBorders>
            <w:shd w:fill="auto" w:val="clear"/>
            <w:vAlign w:val="bottom"/>
          </w:tcPr>
          <w:p>
            <w:pPr>
              <w:pStyle w:val="Normal"/>
              <w:rPr/>
            </w:pPr>
            <w:r>
              <w:rPr/>
              <w:t> </w:t>
            </w:r>
          </w:p>
        </w:tc>
        <w:tc>
          <w:tcPr>
            <w:tcW w:w="386" w:type="dxa"/>
            <w:tcBorders>
              <w:top w:val="single" w:sz="4" w:space="0" w:color="000000"/>
            </w:tcBorders>
            <w:shd w:fill="auto" w:val="clear"/>
            <w:vAlign w:val="bottom"/>
          </w:tcPr>
          <w:p>
            <w:pPr>
              <w:pStyle w:val="Normal"/>
              <w:rPr/>
            </w:pPr>
            <w:r>
              <w:rPr/>
              <w:t> </w:t>
            </w:r>
          </w:p>
        </w:tc>
        <w:tc>
          <w:tcPr>
            <w:tcW w:w="680" w:type="dxa"/>
            <w:tcBorders>
              <w:top w:val="single" w:sz="4" w:space="0" w:color="000000"/>
              <w:left w:val="single" w:sz="4" w:space="0" w:color="000000"/>
            </w:tcBorders>
            <w:shd w:fill="auto" w:val="clear"/>
            <w:tcMar>
              <w:left w:w="65" w:type="dxa"/>
            </w:tcMar>
            <w:vAlign w:val="bottom"/>
          </w:tcPr>
          <w:p>
            <w:pPr>
              <w:pStyle w:val="Normal"/>
              <w:jc w:val="center"/>
              <w:rPr/>
            </w:pPr>
            <w:r>
              <w:rPr/>
              <w:t xml:space="preserve">Unid. </w:t>
            </w:r>
          </w:p>
        </w:tc>
        <w:tc>
          <w:tcPr>
            <w:tcW w:w="1552" w:type="dxa"/>
            <w:tcBorders>
              <w:top w:val="single" w:sz="4" w:space="0" w:color="000000"/>
              <w:left w:val="single" w:sz="4" w:space="0" w:color="000000"/>
              <w:bottom w:val="single" w:sz="4" w:space="0" w:color="000000"/>
              <w:insideH w:val="single" w:sz="4" w:space="0" w:color="000000"/>
            </w:tcBorders>
            <w:shd w:fill="auto" w:val="clear"/>
            <w:tcMar>
              <w:left w:w="65" w:type="dxa"/>
            </w:tcMar>
            <w:vAlign w:val="bottom"/>
          </w:tcPr>
          <w:p>
            <w:pPr>
              <w:pStyle w:val="Normal"/>
              <w:jc w:val="center"/>
              <w:rPr/>
            </w:pPr>
            <w:r>
              <w:rPr/>
              <w:t xml:space="preserve">                    </w:t>
            </w:r>
            <w:r>
              <w:rPr/>
              <w:t xml:space="preserve">Precio en Bs. </w:t>
            </w:r>
          </w:p>
        </w:tc>
        <w:tc>
          <w:tcPr>
            <w:tcW w:w="135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pPr>
            <w:r>
              <w:rPr/>
              <w:t> </w:t>
            </w:r>
          </w:p>
        </w:tc>
      </w:tr>
      <w:tr>
        <w:trPr>
          <w:trHeight w:val="255"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1580" w:type="dxa"/>
            <w:tcBorders>
              <w:left w:val="single" w:sz="4" w:space="0" w:color="000000"/>
            </w:tcBorders>
            <w:shd w:fill="auto" w:val="clear"/>
            <w:tcMar>
              <w:left w:w="65" w:type="dxa"/>
            </w:tcMar>
            <w:vAlign w:val="bottom"/>
          </w:tcPr>
          <w:p>
            <w:pPr>
              <w:pStyle w:val="Normal"/>
              <w:rPr/>
            </w:pPr>
            <w:r>
              <w:rPr/>
              <w:t> </w:t>
            </w:r>
          </w:p>
        </w:tc>
        <w:tc>
          <w:tcPr>
            <w:tcW w:w="997" w:type="dxa"/>
            <w:tcBorders/>
            <w:shd w:fill="auto" w:val="clear"/>
            <w:vAlign w:val="bottom"/>
          </w:tcPr>
          <w:p>
            <w:pPr>
              <w:pStyle w:val="Normal"/>
              <w:snapToGrid w:val="false"/>
              <w:rPr/>
            </w:pPr>
            <w:r>
              <w:rPr/>
            </w:r>
          </w:p>
        </w:tc>
        <w:tc>
          <w:tcPr>
            <w:tcW w:w="1220" w:type="dxa"/>
            <w:tcBorders/>
            <w:shd w:fill="auto" w:val="clear"/>
            <w:vAlign w:val="bottom"/>
          </w:tcPr>
          <w:p>
            <w:pPr>
              <w:pStyle w:val="Normal"/>
              <w:snapToGrid w:val="false"/>
              <w:rPr/>
            </w:pPr>
            <w:r>
              <w:rPr/>
            </w:r>
          </w:p>
        </w:tc>
        <w:tc>
          <w:tcPr>
            <w:tcW w:w="1427" w:type="dxa"/>
            <w:tcBorders/>
            <w:shd w:fill="auto" w:val="clear"/>
            <w:vAlign w:val="bottom"/>
          </w:tcPr>
          <w:p>
            <w:pPr>
              <w:pStyle w:val="Normal"/>
              <w:snapToGrid w:val="false"/>
              <w:rPr/>
            </w:pPr>
            <w:r>
              <w:rPr/>
            </w:r>
          </w:p>
        </w:tc>
        <w:tc>
          <w:tcPr>
            <w:tcW w:w="386" w:type="dxa"/>
            <w:tcBorders/>
            <w:shd w:fill="auto" w:val="clear"/>
            <w:vAlign w:val="bottom"/>
          </w:tcPr>
          <w:p>
            <w:pPr>
              <w:pStyle w:val="Normal"/>
              <w:rPr/>
            </w:pPr>
            <w:r>
              <w:rPr/>
              <w:t> </w:t>
            </w:r>
          </w:p>
        </w:tc>
        <w:tc>
          <w:tcPr>
            <w:tcW w:w="680" w:type="dxa"/>
            <w:tcBorders>
              <w:left w:val="single" w:sz="4" w:space="0" w:color="000000"/>
            </w:tcBorders>
            <w:shd w:fill="auto" w:val="clear"/>
            <w:tcMar>
              <w:left w:w="65" w:type="dxa"/>
            </w:tcMar>
            <w:vAlign w:val="bottom"/>
          </w:tcPr>
          <w:p>
            <w:pPr>
              <w:pStyle w:val="Normal"/>
              <w:jc w:val="center"/>
              <w:rPr/>
            </w:pPr>
            <w:r>
              <w:rPr/>
              <w:t> </w:t>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pPr>
            <w:r>
              <w:rPr/>
              <w:t>CALIDAD</w:t>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center"/>
              <w:rPr/>
            </w:pPr>
            <w:r>
              <w:rPr/>
              <w:t xml:space="preserve">VOLUMEN </w:t>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xml:space="preserve">CALIDAD A  </w:t>
            </w:r>
          </w:p>
        </w:tc>
        <w:tc>
          <w:tcPr>
            <w:tcW w:w="5224" w:type="dxa"/>
            <w:gridSpan w:val="4"/>
            <w:tcBorders>
              <w:top w:val="single" w:sz="4" w:space="0" w:color="000000"/>
              <w:left w:val="single" w:sz="4" w:space="0" w:color="000000"/>
            </w:tcBorders>
            <w:shd w:fill="auto" w:val="clear"/>
            <w:tcMar>
              <w:left w:w="65" w:type="dxa"/>
            </w:tcMar>
            <w:vAlign w:val="bottom"/>
          </w:tcPr>
          <w:p>
            <w:pPr>
              <w:pStyle w:val="Normal"/>
              <w:rPr/>
            </w:pPr>
            <w:r>
              <w:rPr/>
              <w:t>Picos sueltos enteros, sin defectos ni trincadura, con alto contenido de gema superior a 50 gr.</w:t>
            </w:r>
          </w:p>
        </w:tc>
        <w:tc>
          <w:tcPr>
            <w:tcW w:w="386" w:type="dxa"/>
            <w:tcBorders>
              <w:top w:val="single" w:sz="4" w:space="0" w:color="000000"/>
            </w:tcBorders>
            <w:shd w:fill="auto" w:val="clear"/>
            <w:vAlign w:val="bottom"/>
          </w:tcPr>
          <w:p>
            <w:pPr>
              <w:pStyle w:val="Normal"/>
              <w:rPr/>
            </w:pPr>
            <w:r>
              <w:rPr/>
              <w:t> </w:t>
            </w:r>
          </w:p>
        </w:tc>
        <w:tc>
          <w:tcPr>
            <w:tcW w:w="680" w:type="dxa"/>
            <w:tcBorders>
              <w:top w:val="single" w:sz="4" w:space="0" w:color="000000"/>
              <w:left w:val="single" w:sz="4" w:space="0" w:color="000000"/>
            </w:tcBorders>
            <w:shd w:fill="auto" w:val="clear"/>
            <w:tcMar>
              <w:left w:w="65" w:type="dxa"/>
            </w:tcMar>
            <w:vAlign w:val="bottom"/>
          </w:tcPr>
          <w:p>
            <w:pPr>
              <w:pStyle w:val="Normal"/>
              <w:jc w:val="center"/>
              <w:rPr/>
            </w:pPr>
            <w:r>
              <w:rPr/>
              <w:t>Kg. </w:t>
            </w:r>
          </w:p>
        </w:tc>
        <w:tc>
          <w:tcPr>
            <w:tcW w:w="1552" w:type="dxa"/>
            <w:tcBorders>
              <w:left w:val="single" w:sz="4" w:space="0" w:color="000000"/>
            </w:tcBorders>
            <w:shd w:fill="auto" w:val="clear"/>
            <w:tcMar>
              <w:left w:w="65" w:type="dxa"/>
            </w:tcMar>
            <w:vAlign w:val="bottom"/>
          </w:tcPr>
          <w:p>
            <w:pPr>
              <w:pStyle w:val="Normal"/>
              <w:jc w:val="right"/>
              <w:rPr/>
            </w:pPr>
            <w:r>
              <w:rPr/>
              <w:t> </w:t>
            </w:r>
            <w:r>
              <w:rPr/>
              <w:t>1,5</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0,4 </w:t>
            </w:r>
          </w:p>
        </w:tc>
      </w:tr>
      <w:tr>
        <w:trPr>
          <w:trHeight w:val="80"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5224" w:type="dxa"/>
            <w:gridSpan w:val="4"/>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386" w:type="dxa"/>
            <w:tcBorders>
              <w:bottom w:val="single" w:sz="4" w:space="0" w:color="000000"/>
              <w:insideH w:val="single" w:sz="4" w:space="0" w:color="000000"/>
            </w:tcBorders>
            <w:shd w:fill="auto" w:val="clear"/>
            <w:vAlign w:val="bottom"/>
          </w:tcPr>
          <w:p>
            <w:pPr>
              <w:pStyle w:val="Normal"/>
              <w:snapToGrid w:val="false"/>
              <w:rPr/>
            </w:pPr>
            <w:r>
              <w:rPr/>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right"/>
              <w:rPr/>
            </w:pPr>
            <w:r>
              <w:rPr/>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napToGrid w:val="false"/>
              <w:jc w:val="right"/>
              <w:rPr/>
            </w:pPr>
            <w:r>
              <w:rPr/>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xml:space="preserve">CALIDAD B </w:t>
            </w:r>
          </w:p>
        </w:tc>
        <w:tc>
          <w:tcPr>
            <w:tcW w:w="5224" w:type="dxa"/>
            <w:gridSpan w:val="4"/>
            <w:tcBorders>
              <w:top w:val="single" w:sz="4" w:space="0" w:color="000000"/>
              <w:left w:val="single" w:sz="4" w:space="0" w:color="000000"/>
            </w:tcBorders>
            <w:shd w:fill="auto" w:val="clear"/>
            <w:tcMar>
              <w:left w:w="65" w:type="dxa"/>
            </w:tcMar>
            <w:vAlign w:val="bottom"/>
          </w:tcPr>
          <w:p>
            <w:pPr>
              <w:pStyle w:val="Normal"/>
              <w:rPr/>
            </w:pPr>
            <w:r>
              <w:rPr/>
              <w:t xml:space="preserve">Mineral masivo sin defectos ni trincaduras, con alto </w:t>
            </w:r>
          </w:p>
        </w:tc>
        <w:tc>
          <w:tcPr>
            <w:tcW w:w="386" w:type="dxa"/>
            <w:tcBorders/>
            <w:shd w:fill="auto" w:val="clear"/>
            <w:vAlign w:val="bottom"/>
          </w:tcPr>
          <w:p>
            <w:pPr>
              <w:pStyle w:val="Normal"/>
              <w:rPr/>
            </w:pPr>
            <w:r>
              <w:rPr/>
              <w:t> </w:t>
            </w:r>
          </w:p>
        </w:tc>
        <w:tc>
          <w:tcPr>
            <w:tcW w:w="680" w:type="dxa"/>
            <w:tcBorders>
              <w:left w:val="single" w:sz="4" w:space="0" w:color="000000"/>
            </w:tcBorders>
            <w:shd w:fill="auto" w:val="clear"/>
            <w:tcMar>
              <w:left w:w="65" w:type="dxa"/>
            </w:tcMar>
            <w:vAlign w:val="bottom"/>
          </w:tcPr>
          <w:p>
            <w:pPr>
              <w:pStyle w:val="Normal"/>
              <w:jc w:val="center"/>
              <w:rPr/>
            </w:pPr>
            <w:r>
              <w:rPr/>
              <w:t> </w:t>
            </w:r>
          </w:p>
        </w:tc>
        <w:tc>
          <w:tcPr>
            <w:tcW w:w="1552" w:type="dxa"/>
            <w:tcBorders>
              <w:left w:val="single" w:sz="4" w:space="0" w:color="000000"/>
            </w:tcBorders>
            <w:shd w:fill="auto" w:val="clear"/>
            <w:tcMar>
              <w:left w:w="65" w:type="dxa"/>
            </w:tcMar>
            <w:vAlign w:val="bottom"/>
          </w:tcPr>
          <w:p>
            <w:pPr>
              <w:pStyle w:val="Normal"/>
              <w:rPr/>
            </w:pPr>
            <w:r>
              <w:rPr/>
              <w:t> </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rPr/>
            </w:pPr>
            <w:r>
              <w:rPr/>
              <w:t> </w:t>
            </w:r>
          </w:p>
        </w:tc>
      </w:tr>
      <w:tr>
        <w:trPr>
          <w:trHeight w:val="225"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5224" w:type="dxa"/>
            <w:gridSpan w:val="4"/>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xml:space="preserve">contenido de gema fina superior a 50 gr. </w:t>
            </w:r>
          </w:p>
        </w:tc>
        <w:tc>
          <w:tcPr>
            <w:tcW w:w="386" w:type="dxa"/>
            <w:tcBorders>
              <w:bottom w:val="single" w:sz="4" w:space="0" w:color="000000"/>
              <w:insideH w:val="single" w:sz="4" w:space="0" w:color="000000"/>
            </w:tcBorders>
            <w:shd w:fill="auto" w:val="clear"/>
            <w:vAlign w:val="bottom"/>
          </w:tcPr>
          <w:p>
            <w:pPr>
              <w:pStyle w:val="Normal"/>
              <w:rPr/>
            </w:pPr>
            <w:r>
              <w:rPr/>
              <w:t> </w:t>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pPr>
            <w:r>
              <w:rPr/>
              <w:t xml:space="preserve">Kg. </w:t>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right"/>
              <w:rPr/>
            </w:pPr>
            <w:r>
              <w:rPr/>
              <w:t>0,75</w:t>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right"/>
              <w:rPr/>
            </w:pPr>
            <w:r>
              <w:rPr/>
              <w:t>0,4</w:t>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xml:space="preserve">CALIDAD C </w:t>
            </w:r>
          </w:p>
        </w:tc>
        <w:tc>
          <w:tcPr>
            <w:tcW w:w="5224" w:type="dxa"/>
            <w:gridSpan w:val="4"/>
            <w:tcBorders>
              <w:top w:val="single" w:sz="4" w:space="0" w:color="000000"/>
              <w:left w:val="single" w:sz="4" w:space="0" w:color="000000"/>
            </w:tcBorders>
            <w:shd w:fill="auto" w:val="clear"/>
            <w:tcMar>
              <w:left w:w="65" w:type="dxa"/>
            </w:tcMar>
            <w:vAlign w:val="bottom"/>
          </w:tcPr>
          <w:p>
            <w:pPr>
              <w:pStyle w:val="Normal"/>
              <w:rPr/>
            </w:pPr>
            <w:r>
              <w:rPr/>
              <w:t xml:space="preserve">Picos sueltos enteros, sin defectos ni trincaduras, con buena cristalización, alto color, superior a 50 gr. </w:t>
            </w:r>
          </w:p>
        </w:tc>
        <w:tc>
          <w:tcPr>
            <w:tcW w:w="386" w:type="dxa"/>
            <w:tcBorders/>
            <w:shd w:fill="auto" w:val="clear"/>
            <w:vAlign w:val="bottom"/>
          </w:tcPr>
          <w:p>
            <w:pPr>
              <w:pStyle w:val="Normal"/>
              <w:rPr/>
            </w:pPr>
            <w:r>
              <w:rPr/>
              <w:t> </w:t>
            </w:r>
          </w:p>
        </w:tc>
        <w:tc>
          <w:tcPr>
            <w:tcW w:w="680" w:type="dxa"/>
            <w:tcBorders>
              <w:left w:val="single" w:sz="4" w:space="0" w:color="000000"/>
            </w:tcBorders>
            <w:shd w:fill="auto" w:val="clear"/>
            <w:tcMar>
              <w:left w:w="65" w:type="dxa"/>
            </w:tcMar>
            <w:vAlign w:val="bottom"/>
          </w:tcPr>
          <w:p>
            <w:pPr>
              <w:pStyle w:val="Normal"/>
              <w:jc w:val="center"/>
              <w:rPr/>
            </w:pPr>
            <w:r>
              <w:rPr/>
              <w:t>Kg. </w:t>
            </w:r>
          </w:p>
        </w:tc>
        <w:tc>
          <w:tcPr>
            <w:tcW w:w="1552" w:type="dxa"/>
            <w:tcBorders>
              <w:left w:val="single" w:sz="4" w:space="0" w:color="000000"/>
            </w:tcBorders>
            <w:shd w:fill="auto" w:val="clear"/>
            <w:tcMar>
              <w:left w:w="65" w:type="dxa"/>
            </w:tcMar>
            <w:vAlign w:val="bottom"/>
          </w:tcPr>
          <w:p>
            <w:pPr>
              <w:pStyle w:val="Normal"/>
              <w:jc w:val="right"/>
              <w:rPr/>
            </w:pPr>
            <w:r>
              <w:rPr/>
              <w:t>0,375 </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 </w:t>
            </w:r>
            <w:r>
              <w:rPr/>
              <w:t>0,4</w:t>
            </w:r>
          </w:p>
        </w:tc>
      </w:tr>
      <w:tr>
        <w:trPr>
          <w:trHeight w:val="84"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5224" w:type="dxa"/>
            <w:gridSpan w:val="4"/>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386" w:type="dxa"/>
            <w:tcBorders>
              <w:bottom w:val="single" w:sz="4" w:space="0" w:color="000000"/>
              <w:insideH w:val="single" w:sz="4" w:space="0" w:color="000000"/>
            </w:tcBorders>
            <w:shd w:fill="auto" w:val="clear"/>
            <w:vAlign w:val="bottom"/>
          </w:tcPr>
          <w:p>
            <w:pPr>
              <w:pStyle w:val="Normal"/>
              <w:snapToGrid w:val="false"/>
              <w:rPr/>
            </w:pPr>
            <w:r>
              <w:rPr/>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right"/>
              <w:rPr/>
            </w:pPr>
            <w:r>
              <w:rPr/>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napToGrid w:val="false"/>
              <w:jc w:val="right"/>
              <w:rPr/>
            </w:pPr>
            <w:r>
              <w:rPr/>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xml:space="preserve">CALIDAD D </w:t>
            </w:r>
          </w:p>
        </w:tc>
        <w:tc>
          <w:tcPr>
            <w:tcW w:w="5610" w:type="dxa"/>
            <w:gridSpan w:val="5"/>
            <w:tcBorders>
              <w:top w:val="single" w:sz="4" w:space="0" w:color="000000"/>
              <w:left w:val="single" w:sz="4" w:space="0" w:color="000000"/>
            </w:tcBorders>
            <w:shd w:fill="auto" w:val="clear"/>
            <w:tcMar>
              <w:left w:w="65" w:type="dxa"/>
            </w:tcMar>
            <w:vAlign w:val="bottom"/>
          </w:tcPr>
          <w:p>
            <w:pPr>
              <w:pStyle w:val="Normal"/>
              <w:rPr/>
            </w:pPr>
            <w:r>
              <w:rPr/>
              <w:t>Mineral no comprendido en las categorías anteriores, con defectos, baja coloración, trincados, lechosos, blancos u otros defectos, superior a 30 gr.</w:t>
            </w:r>
          </w:p>
        </w:tc>
        <w:tc>
          <w:tcPr>
            <w:tcW w:w="680" w:type="dxa"/>
            <w:tcBorders>
              <w:left w:val="single" w:sz="4" w:space="0" w:color="000000"/>
            </w:tcBorders>
            <w:shd w:fill="auto" w:val="clear"/>
            <w:tcMar>
              <w:left w:w="65" w:type="dxa"/>
            </w:tcMar>
            <w:vAlign w:val="bottom"/>
          </w:tcPr>
          <w:p>
            <w:pPr>
              <w:pStyle w:val="Normal"/>
              <w:jc w:val="center"/>
              <w:rPr/>
            </w:pPr>
            <w:r>
              <w:rPr/>
              <w:t>Kg. </w:t>
            </w:r>
          </w:p>
        </w:tc>
        <w:tc>
          <w:tcPr>
            <w:tcW w:w="1552" w:type="dxa"/>
            <w:tcBorders>
              <w:left w:val="single" w:sz="4" w:space="0" w:color="000000"/>
            </w:tcBorders>
            <w:shd w:fill="auto" w:val="clear"/>
            <w:tcMar>
              <w:left w:w="65" w:type="dxa"/>
            </w:tcMar>
            <w:vAlign w:val="bottom"/>
          </w:tcPr>
          <w:p>
            <w:pPr>
              <w:pStyle w:val="Normal"/>
              <w:jc w:val="right"/>
              <w:rPr/>
            </w:pPr>
            <w:r>
              <w:rPr/>
              <w:t> </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 </w:t>
            </w:r>
            <w:r>
              <w:rPr/>
              <w:t>0,3</w:t>
            </w:r>
          </w:p>
        </w:tc>
      </w:tr>
      <w:tr>
        <w:trPr>
          <w:trHeight w:val="98" w:hRule="atLeast"/>
        </w:trPr>
        <w:tc>
          <w:tcPr>
            <w:tcW w:w="1447" w:type="dxa"/>
            <w:tcBorders>
              <w:left w:val="single" w:sz="4" w:space="0" w:color="000000"/>
            </w:tcBorders>
            <w:shd w:fill="auto" w:val="clear"/>
            <w:tcMar>
              <w:left w:w="65" w:type="dxa"/>
            </w:tcMar>
            <w:vAlign w:val="bottom"/>
          </w:tcPr>
          <w:p>
            <w:pPr>
              <w:pStyle w:val="Normal"/>
              <w:snapToGrid w:val="false"/>
              <w:rPr/>
            </w:pPr>
            <w:r>
              <w:rPr/>
            </w:r>
          </w:p>
        </w:tc>
        <w:tc>
          <w:tcPr>
            <w:tcW w:w="5610" w:type="dxa"/>
            <w:gridSpan w:val="5"/>
            <w:tcBorders>
              <w:left w:val="single" w:sz="4" w:space="0" w:color="000000"/>
            </w:tcBorders>
            <w:shd w:fill="auto" w:val="clear"/>
            <w:tcMar>
              <w:left w:w="65" w:type="dxa"/>
            </w:tcMar>
            <w:vAlign w:val="bottom"/>
          </w:tcPr>
          <w:p>
            <w:pPr>
              <w:pStyle w:val="Normal"/>
              <w:snapToGrid w:val="false"/>
              <w:rPr/>
            </w:pPr>
            <w:r>
              <w:rPr/>
            </w:r>
          </w:p>
        </w:tc>
        <w:tc>
          <w:tcPr>
            <w:tcW w:w="680" w:type="dxa"/>
            <w:tcBorders>
              <w:left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tcBorders>
            <w:shd w:fill="auto" w:val="clear"/>
            <w:tcMar>
              <w:left w:w="65" w:type="dxa"/>
            </w:tcMar>
            <w:vAlign w:val="bottom"/>
          </w:tcPr>
          <w:p>
            <w:pPr>
              <w:pStyle w:val="Normal"/>
              <w:snapToGrid w:val="false"/>
              <w:rPr/>
            </w:pPr>
            <w:r>
              <w:rPr/>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snapToGrid w:val="false"/>
              <w:rPr/>
            </w:pPr>
            <w:r>
              <w:rPr/>
            </w:r>
          </w:p>
        </w:tc>
      </w:tr>
      <w:tr>
        <w:trPr>
          <w:trHeight w:val="132" w:hRule="atLeast"/>
        </w:trPr>
        <w:tc>
          <w:tcPr>
            <w:tcW w:w="1447" w:type="dxa"/>
            <w:tcBorders/>
            <w:shd w:fill="auto" w:val="clear"/>
            <w:vAlign w:val="bottom"/>
          </w:tcPr>
          <w:p>
            <w:pPr>
              <w:pStyle w:val="Normal"/>
              <w:snapToGrid w:val="false"/>
              <w:rPr/>
            </w:pPr>
            <w:r>
              <w:rPr/>
            </w:r>
          </w:p>
        </w:tc>
        <w:tc>
          <w:tcPr>
            <w:tcW w:w="3797" w:type="dxa"/>
            <w:gridSpan w:val="3"/>
            <w:tcBorders/>
            <w:shd w:fill="auto" w:val="clear"/>
            <w:vAlign w:val="bottom"/>
          </w:tcPr>
          <w:p>
            <w:pPr>
              <w:pStyle w:val="Normal"/>
              <w:snapToGrid w:val="false"/>
              <w:rPr/>
            </w:pPr>
            <w:r>
              <w:rPr/>
            </w:r>
          </w:p>
        </w:tc>
        <w:tc>
          <w:tcPr>
            <w:tcW w:w="1427" w:type="dxa"/>
            <w:tcBorders/>
            <w:shd w:fill="auto" w:val="clear"/>
            <w:vAlign w:val="bottom"/>
          </w:tcPr>
          <w:p>
            <w:pPr>
              <w:pStyle w:val="Normal"/>
              <w:snapToGrid w:val="false"/>
              <w:rPr/>
            </w:pPr>
            <w:r>
              <w:rPr/>
            </w:r>
          </w:p>
        </w:tc>
        <w:tc>
          <w:tcPr>
            <w:tcW w:w="386" w:type="dxa"/>
            <w:tcBorders/>
            <w:shd w:fill="auto" w:val="clear"/>
            <w:vAlign w:val="bottom"/>
          </w:tcPr>
          <w:p>
            <w:pPr>
              <w:pStyle w:val="Normal"/>
              <w:snapToGrid w:val="false"/>
              <w:rPr/>
            </w:pPr>
            <w:r>
              <w:rPr/>
            </w:r>
          </w:p>
        </w:tc>
        <w:tc>
          <w:tcPr>
            <w:tcW w:w="680" w:type="dxa"/>
            <w:tcBorders/>
            <w:shd w:fill="auto" w:val="cle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jc w:val="right"/>
              <w:rPr/>
            </w:pPr>
            <w:r>
              <w:rPr/>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xml:space="preserve">DESMONTE </w:t>
            </w:r>
          </w:p>
        </w:tc>
        <w:tc>
          <w:tcPr>
            <w:tcW w:w="5224" w:type="dxa"/>
            <w:gridSpan w:val="4"/>
            <w:tcBorders>
              <w:left w:val="single" w:sz="4" w:space="0" w:color="000000"/>
            </w:tcBorders>
            <w:shd w:fill="auto" w:val="clear"/>
            <w:tcMar>
              <w:left w:w="65" w:type="dxa"/>
            </w:tcMar>
            <w:vAlign w:val="bottom"/>
          </w:tcPr>
          <w:p>
            <w:pPr>
              <w:pStyle w:val="Normal"/>
              <w:rPr/>
            </w:pPr>
            <w:r>
              <w:rPr/>
              <w:t>Mineral mixto, excepto rocas inertes y arcillas, aptos para ser procesados</w:t>
            </w:r>
          </w:p>
        </w:tc>
        <w:tc>
          <w:tcPr>
            <w:tcW w:w="386" w:type="dxa"/>
            <w:tcBorders/>
            <w:shd w:fill="auto" w:val="clear"/>
            <w:vAlign w:val="bottom"/>
          </w:tcPr>
          <w:p>
            <w:pPr>
              <w:pStyle w:val="Normal"/>
              <w:rPr/>
            </w:pPr>
            <w:r>
              <w:rPr/>
              <w:t> </w:t>
            </w:r>
          </w:p>
        </w:tc>
        <w:tc>
          <w:tcPr>
            <w:tcW w:w="680" w:type="dxa"/>
            <w:tcBorders>
              <w:left w:val="single" w:sz="4" w:space="0" w:color="000000"/>
            </w:tcBorders>
            <w:shd w:fill="auto" w:val="clear"/>
            <w:tcMar>
              <w:left w:w="65" w:type="dxa"/>
            </w:tcMar>
            <w:vAlign w:val="bottom"/>
          </w:tcPr>
          <w:p>
            <w:pPr>
              <w:pStyle w:val="Normal"/>
              <w:jc w:val="right"/>
              <w:rPr/>
            </w:pPr>
            <w:r>
              <w:rPr/>
              <w:t>Kg. </w:t>
            </w:r>
          </w:p>
        </w:tc>
        <w:tc>
          <w:tcPr>
            <w:tcW w:w="1552" w:type="dxa"/>
            <w:tcBorders>
              <w:left w:val="single" w:sz="4" w:space="0" w:color="000000"/>
            </w:tcBorders>
            <w:shd w:fill="auto" w:val="clear"/>
            <w:tcMar>
              <w:left w:w="65" w:type="dxa"/>
            </w:tcMar>
            <w:vAlign w:val="bottom"/>
          </w:tcPr>
          <w:p>
            <w:pPr>
              <w:pStyle w:val="Normal"/>
              <w:jc w:val="right"/>
              <w:rPr/>
            </w:pPr>
            <w:r>
              <w:rPr/>
              <w:t> </w:t>
            </w:r>
            <w:r>
              <w:rPr/>
              <w:t>0,3</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 </w:t>
            </w:r>
            <w:r>
              <w:rPr/>
              <w:t>0,1</w:t>
            </w:r>
          </w:p>
        </w:tc>
      </w:tr>
      <w:tr>
        <w:trPr>
          <w:trHeight w:val="126"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2577" w:type="dxa"/>
            <w:gridSpan w:val="2"/>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1220" w:type="dxa"/>
            <w:tcBorders>
              <w:bottom w:val="single" w:sz="4" w:space="0" w:color="000000"/>
              <w:insideH w:val="single" w:sz="4" w:space="0" w:color="000000"/>
            </w:tcBorders>
            <w:shd w:fill="auto" w:val="clear"/>
            <w:vAlign w:val="bottom"/>
          </w:tcPr>
          <w:p>
            <w:pPr>
              <w:pStyle w:val="Normal"/>
              <w:rPr/>
            </w:pPr>
            <w:r>
              <w:rPr/>
              <w:t> </w:t>
            </w:r>
          </w:p>
        </w:tc>
        <w:tc>
          <w:tcPr>
            <w:tcW w:w="1427" w:type="dxa"/>
            <w:tcBorders>
              <w:bottom w:val="single" w:sz="4" w:space="0" w:color="000000"/>
              <w:insideH w:val="single" w:sz="4" w:space="0" w:color="000000"/>
            </w:tcBorders>
            <w:shd w:fill="auto" w:val="clear"/>
            <w:vAlign w:val="bottom"/>
          </w:tcPr>
          <w:p>
            <w:pPr>
              <w:pStyle w:val="Normal"/>
              <w:rPr/>
            </w:pPr>
            <w:r>
              <w:rPr/>
              <w:t> </w:t>
            </w:r>
          </w:p>
        </w:tc>
        <w:tc>
          <w:tcPr>
            <w:tcW w:w="386" w:type="dxa"/>
            <w:tcBorders>
              <w:bottom w:val="single" w:sz="4" w:space="0" w:color="000000"/>
              <w:insideH w:val="single" w:sz="4" w:space="0" w:color="000000"/>
            </w:tcBorders>
            <w:shd w:fill="auto" w:val="clear"/>
            <w:vAlign w:val="bottom"/>
          </w:tcPr>
          <w:p>
            <w:pPr>
              <w:pStyle w:val="Normal"/>
              <w:rPr/>
            </w:pPr>
            <w:r>
              <w:rPr/>
              <w:t> </w:t>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right"/>
              <w:rPr/>
            </w:pPr>
            <w:r>
              <w:rPr/>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napToGrid w:val="false"/>
              <w:jc w:val="right"/>
              <w:rPr/>
            </w:pPr>
            <w:r>
              <w:rPr/>
            </w:r>
          </w:p>
        </w:tc>
      </w:tr>
      <w:tr>
        <w:trPr>
          <w:trHeight w:val="299" w:hRule="atLeast"/>
        </w:trPr>
        <w:tc>
          <w:tcPr>
            <w:tcW w:w="1447" w:type="dxa"/>
            <w:tcBorders/>
            <w:shd w:fill="auto" w:val="clear"/>
            <w:vAlign w:val="bottom"/>
          </w:tcPr>
          <w:p>
            <w:pPr>
              <w:pStyle w:val="Normal"/>
              <w:snapToGrid w:val="false"/>
              <w:rPr/>
            </w:pPr>
            <w:r>
              <w:rPr/>
            </w:r>
          </w:p>
        </w:tc>
        <w:tc>
          <w:tcPr>
            <w:tcW w:w="1580" w:type="dxa"/>
            <w:tcBorders/>
            <w:shd w:fill="auto" w:val="clear"/>
            <w:vAlign w:val="bottom"/>
          </w:tcPr>
          <w:p>
            <w:pPr>
              <w:pStyle w:val="Normal"/>
              <w:snapToGrid w:val="false"/>
              <w:rPr/>
            </w:pPr>
            <w:r>
              <w:rPr/>
            </w:r>
          </w:p>
        </w:tc>
        <w:tc>
          <w:tcPr>
            <w:tcW w:w="997" w:type="dxa"/>
            <w:tcBorders/>
            <w:shd w:fill="auto" w:val="clear"/>
            <w:vAlign w:val="bottom"/>
          </w:tcPr>
          <w:p>
            <w:pPr>
              <w:pStyle w:val="Normal"/>
              <w:snapToGrid w:val="false"/>
              <w:rPr/>
            </w:pPr>
            <w:r>
              <w:rPr/>
            </w:r>
          </w:p>
        </w:tc>
        <w:tc>
          <w:tcPr>
            <w:tcW w:w="1220" w:type="dxa"/>
            <w:tcBorders/>
            <w:shd w:fill="auto" w:val="clear"/>
            <w:vAlign w:val="bottom"/>
          </w:tcPr>
          <w:p>
            <w:pPr>
              <w:pStyle w:val="Normal"/>
              <w:snapToGrid w:val="false"/>
              <w:rPr/>
            </w:pPr>
            <w:r>
              <w:rPr/>
            </w:r>
          </w:p>
        </w:tc>
        <w:tc>
          <w:tcPr>
            <w:tcW w:w="1427" w:type="dxa"/>
            <w:tcBorders/>
            <w:shd w:fill="auto" w:val="clear"/>
            <w:vAlign w:val="bottom"/>
          </w:tcPr>
          <w:p>
            <w:pPr>
              <w:pStyle w:val="Normal"/>
              <w:snapToGrid w:val="false"/>
              <w:rPr/>
            </w:pPr>
            <w:r>
              <w:rPr/>
            </w:r>
          </w:p>
        </w:tc>
        <w:tc>
          <w:tcPr>
            <w:tcW w:w="386" w:type="dxa"/>
            <w:tcBorders/>
            <w:shd w:fill="auto" w:val="clear"/>
            <w:vAlign w:val="bottom"/>
          </w:tcPr>
          <w:p>
            <w:pPr>
              <w:pStyle w:val="Normal"/>
              <w:snapToGrid w:val="false"/>
              <w:rPr/>
            </w:pPr>
            <w:r>
              <w:rPr/>
            </w:r>
          </w:p>
        </w:tc>
        <w:tc>
          <w:tcPr>
            <w:tcW w:w="680" w:type="dxa"/>
            <w:tcBorders/>
            <w:shd w:fill="auto" w:val="cle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p>
            <w:pPr>
              <w:pStyle w:val="Normal"/>
              <w:rPr/>
            </w:pPr>
            <w:r>
              <w:rPr/>
            </w:r>
          </w:p>
          <w:p>
            <w:pPr>
              <w:pStyle w:val="Normal"/>
              <w:rPr/>
            </w:pPr>
            <w:r>
              <w:rPr/>
            </w:r>
          </w:p>
        </w:tc>
      </w:tr>
      <w:tr>
        <w:trPr>
          <w:trHeight w:val="80" w:hRule="atLeast"/>
        </w:trPr>
        <w:tc>
          <w:tcPr>
            <w:tcW w:w="1447" w:type="dxa"/>
            <w:tcBorders/>
            <w:shd w:fill="auto" w:val="clear"/>
            <w:vAlign w:val="bottom"/>
          </w:tcPr>
          <w:p>
            <w:pPr>
              <w:pStyle w:val="Normal"/>
              <w:snapToGrid w:val="false"/>
              <w:rPr/>
            </w:pPr>
            <w:r>
              <w:rPr/>
            </w:r>
          </w:p>
        </w:tc>
        <w:tc>
          <w:tcPr>
            <w:tcW w:w="1580" w:type="dxa"/>
            <w:tcBorders/>
            <w:shd w:fill="auto" w:val="clear"/>
            <w:vAlign w:val="bottom"/>
          </w:tcPr>
          <w:p>
            <w:pPr>
              <w:pStyle w:val="Normal"/>
              <w:rPr/>
            </w:pPr>
            <w:r>
              <w:rPr/>
              <w:t xml:space="preserve">COLECCIÓN: </w:t>
            </w:r>
          </w:p>
        </w:tc>
        <w:tc>
          <w:tcPr>
            <w:tcW w:w="997" w:type="dxa"/>
            <w:tcBorders/>
            <w:shd w:fill="auto" w:val="clear"/>
            <w:vAlign w:val="bottom"/>
          </w:tcPr>
          <w:p>
            <w:pPr>
              <w:pStyle w:val="Normal"/>
              <w:snapToGrid w:val="false"/>
              <w:rPr/>
            </w:pPr>
            <w:r>
              <w:rPr/>
            </w:r>
          </w:p>
        </w:tc>
        <w:tc>
          <w:tcPr>
            <w:tcW w:w="1220" w:type="dxa"/>
            <w:tcBorders/>
            <w:shd w:fill="auto" w:val="clear"/>
            <w:vAlign w:val="bottom"/>
          </w:tcPr>
          <w:p>
            <w:pPr>
              <w:pStyle w:val="Normal"/>
              <w:snapToGrid w:val="false"/>
              <w:rPr/>
            </w:pPr>
            <w:r>
              <w:rPr/>
            </w:r>
          </w:p>
        </w:tc>
        <w:tc>
          <w:tcPr>
            <w:tcW w:w="1427" w:type="dxa"/>
            <w:tcBorders/>
            <w:shd w:fill="auto" w:val="clear"/>
            <w:vAlign w:val="bottom"/>
          </w:tcPr>
          <w:p>
            <w:pPr>
              <w:pStyle w:val="Normal"/>
              <w:snapToGrid w:val="false"/>
              <w:rPr/>
            </w:pPr>
            <w:r>
              <w:rPr/>
            </w:r>
          </w:p>
        </w:tc>
        <w:tc>
          <w:tcPr>
            <w:tcW w:w="386" w:type="dxa"/>
            <w:tcBorders/>
            <w:shd w:fill="auto" w:val="clear"/>
            <w:vAlign w:val="bottom"/>
          </w:tcPr>
          <w:p>
            <w:pPr>
              <w:pStyle w:val="Normal"/>
              <w:snapToGrid w:val="false"/>
              <w:rPr/>
            </w:pPr>
            <w:r>
              <w:rPr/>
            </w:r>
          </w:p>
        </w:tc>
        <w:tc>
          <w:tcPr>
            <w:tcW w:w="680" w:type="dxa"/>
            <w:tcBorders/>
            <w:shd w:fill="auto" w:val="clear"/>
            <w:vAlign w:val="bottom"/>
          </w:tcPr>
          <w:p>
            <w:pPr>
              <w:pStyle w:val="Normal"/>
              <w:snapToGrid w:val="false"/>
              <w:jc w:val="center"/>
              <w:rPr/>
            </w:pPr>
            <w:r>
              <w:rPr/>
            </w:r>
          </w:p>
        </w:tc>
        <w:tc>
          <w:tcPr>
            <w:tcW w:w="1552" w:type="dxa"/>
            <w:tcBorders/>
            <w:shd w:fill="auto" w:val="clear"/>
            <w:vAlign w:val="bottom"/>
          </w:tcPr>
          <w:p>
            <w:pPr>
              <w:pStyle w:val="Normal"/>
              <w:snapToGrid w:val="false"/>
              <w:rPr/>
            </w:pPr>
            <w:r>
              <w:rPr/>
            </w:r>
          </w:p>
        </w:tc>
        <w:tc>
          <w:tcPr>
            <w:tcW w:w="1340" w:type="dxa"/>
            <w:tcBorders/>
            <w:shd w:fill="auto" w:val="clear"/>
            <w:vAlign w:val="bottom"/>
          </w:tcPr>
          <w:p>
            <w:pPr>
              <w:pStyle w:val="Normal"/>
              <w:snapToGrid w:val="false"/>
              <w:rPr/>
            </w:pPr>
            <w:r>
              <w:rPr/>
            </w:r>
          </w:p>
        </w:tc>
      </w:tr>
      <w:tr>
        <w:trPr>
          <w:trHeight w:val="255" w:hRule="atLeast"/>
        </w:trPr>
        <w:tc>
          <w:tcPr>
            <w:tcW w:w="1447" w:type="dxa"/>
            <w:tcBorders>
              <w:top w:val="single" w:sz="4" w:space="0" w:color="000000"/>
              <w:left w:val="single" w:sz="4" w:space="0" w:color="000000"/>
            </w:tcBorders>
            <w:shd w:fill="auto" w:val="clear"/>
            <w:tcMar>
              <w:left w:w="65" w:type="dxa"/>
            </w:tcMar>
            <w:vAlign w:val="bottom"/>
          </w:tcPr>
          <w:p>
            <w:pPr>
              <w:pStyle w:val="Normal"/>
              <w:rPr/>
            </w:pPr>
            <w:r>
              <w:rPr/>
              <w:t xml:space="preserve">CALIDAD </w:t>
            </w:r>
          </w:p>
        </w:tc>
        <w:tc>
          <w:tcPr>
            <w:tcW w:w="3797" w:type="dxa"/>
            <w:gridSpan w:val="3"/>
            <w:tcBorders>
              <w:top w:val="single" w:sz="4" w:space="0" w:color="000000"/>
              <w:left w:val="single" w:sz="4" w:space="0" w:color="000000"/>
            </w:tcBorders>
            <w:shd w:fill="auto" w:val="clear"/>
            <w:tcMar>
              <w:left w:w="65" w:type="dxa"/>
            </w:tcMar>
            <w:vAlign w:val="bottom"/>
          </w:tcPr>
          <w:p>
            <w:pPr>
              <w:pStyle w:val="Normal"/>
              <w:rPr/>
            </w:pPr>
            <w:r>
              <w:rPr/>
              <w:t xml:space="preserve">                                          </w:t>
            </w:r>
            <w:r>
              <w:rPr/>
              <w:t xml:space="preserve">DETALLE </w:t>
            </w:r>
          </w:p>
        </w:tc>
        <w:tc>
          <w:tcPr>
            <w:tcW w:w="1427" w:type="dxa"/>
            <w:tcBorders>
              <w:top w:val="single" w:sz="4" w:space="0" w:color="000000"/>
            </w:tcBorders>
            <w:shd w:fill="auto" w:val="clear"/>
            <w:vAlign w:val="bottom"/>
          </w:tcPr>
          <w:p>
            <w:pPr>
              <w:pStyle w:val="Normal"/>
              <w:rPr/>
            </w:pPr>
            <w:r>
              <w:rPr/>
              <w:t> </w:t>
            </w:r>
          </w:p>
        </w:tc>
        <w:tc>
          <w:tcPr>
            <w:tcW w:w="386" w:type="dxa"/>
            <w:tcBorders>
              <w:top w:val="single" w:sz="4" w:space="0" w:color="000000"/>
            </w:tcBorders>
            <w:shd w:fill="auto" w:val="clear"/>
            <w:vAlign w:val="bottom"/>
          </w:tcPr>
          <w:p>
            <w:pPr>
              <w:pStyle w:val="Normal"/>
              <w:rPr/>
            </w:pPr>
            <w:r>
              <w:rPr/>
              <w:t> </w:t>
            </w:r>
          </w:p>
        </w:tc>
        <w:tc>
          <w:tcPr>
            <w:tcW w:w="680" w:type="dxa"/>
            <w:tcBorders>
              <w:top w:val="single" w:sz="4" w:space="0" w:color="000000"/>
              <w:left w:val="single" w:sz="4" w:space="0" w:color="000000"/>
            </w:tcBorders>
            <w:shd w:fill="auto" w:val="clear"/>
            <w:tcMar>
              <w:left w:w="65" w:type="dxa"/>
            </w:tcMar>
            <w:vAlign w:val="bottom"/>
          </w:tcPr>
          <w:p>
            <w:pPr>
              <w:pStyle w:val="Normal"/>
              <w:jc w:val="center"/>
              <w:rPr/>
            </w:pPr>
            <w:r>
              <w:rPr/>
              <w:t xml:space="preserve">Unid. </w:t>
            </w:r>
          </w:p>
        </w:tc>
        <w:tc>
          <w:tcPr>
            <w:tcW w:w="290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rPr/>
            </w:pPr>
            <w:r>
              <w:rPr/>
              <w:t xml:space="preserve">       </w:t>
            </w:r>
            <w:r>
              <w:rPr/>
              <w:t xml:space="preserve">Precio en Bs.                            </w:t>
            </w:r>
          </w:p>
        </w:tc>
      </w:tr>
      <w:tr>
        <w:trPr>
          <w:trHeight w:val="255"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15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997" w:type="dxa"/>
            <w:tcBorders>
              <w:bottom w:val="single" w:sz="4" w:space="0" w:color="000000"/>
              <w:insideH w:val="single" w:sz="4" w:space="0" w:color="000000"/>
            </w:tcBorders>
            <w:shd w:fill="auto" w:val="clear"/>
            <w:vAlign w:val="bottom"/>
          </w:tcPr>
          <w:p>
            <w:pPr>
              <w:pStyle w:val="Normal"/>
              <w:rPr/>
            </w:pPr>
            <w:r>
              <w:rPr/>
              <w:t> </w:t>
            </w:r>
          </w:p>
        </w:tc>
        <w:tc>
          <w:tcPr>
            <w:tcW w:w="1220" w:type="dxa"/>
            <w:tcBorders>
              <w:bottom w:val="single" w:sz="4" w:space="0" w:color="000000"/>
              <w:insideH w:val="single" w:sz="4" w:space="0" w:color="000000"/>
            </w:tcBorders>
            <w:shd w:fill="auto" w:val="clear"/>
            <w:vAlign w:val="bottom"/>
          </w:tcPr>
          <w:p>
            <w:pPr>
              <w:pStyle w:val="Normal"/>
              <w:rPr/>
            </w:pPr>
            <w:r>
              <w:rPr/>
              <w:t> </w:t>
            </w:r>
          </w:p>
        </w:tc>
        <w:tc>
          <w:tcPr>
            <w:tcW w:w="1427" w:type="dxa"/>
            <w:tcBorders>
              <w:bottom w:val="single" w:sz="4" w:space="0" w:color="000000"/>
              <w:insideH w:val="single" w:sz="4" w:space="0" w:color="000000"/>
            </w:tcBorders>
            <w:shd w:fill="auto" w:val="clear"/>
            <w:vAlign w:val="bottom"/>
          </w:tcPr>
          <w:p>
            <w:pPr>
              <w:pStyle w:val="Normal"/>
              <w:rPr/>
            </w:pPr>
            <w:r>
              <w:rPr/>
              <w:t> </w:t>
            </w:r>
          </w:p>
        </w:tc>
        <w:tc>
          <w:tcPr>
            <w:tcW w:w="386" w:type="dxa"/>
            <w:tcBorders>
              <w:bottom w:val="single" w:sz="4" w:space="0" w:color="000000"/>
              <w:insideH w:val="single" w:sz="4" w:space="0" w:color="000000"/>
            </w:tcBorders>
            <w:shd w:fill="auto" w:val="clear"/>
            <w:vAlign w:val="bottom"/>
          </w:tcPr>
          <w:p>
            <w:pPr>
              <w:pStyle w:val="Normal"/>
              <w:rPr/>
            </w:pPr>
            <w:r>
              <w:rPr/>
              <w:t> </w:t>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jc w:val="center"/>
              <w:rPr/>
            </w:pPr>
            <w:r>
              <w:rPr/>
              <w:t> </w:t>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CALIDAD</w:t>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jc w:val="center"/>
              <w:rPr/>
            </w:pPr>
            <w:r>
              <w:rPr/>
              <w:t xml:space="preserve">VOLUMEN </w:t>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xml:space="preserve">CALIDAD A </w:t>
            </w:r>
          </w:p>
        </w:tc>
        <w:tc>
          <w:tcPr>
            <w:tcW w:w="5224" w:type="dxa"/>
            <w:gridSpan w:val="4"/>
            <w:tcBorders>
              <w:top w:val="single" w:sz="4" w:space="0" w:color="000000"/>
              <w:left w:val="single" w:sz="4" w:space="0" w:color="000000"/>
            </w:tcBorders>
            <w:shd w:fill="auto" w:val="clear"/>
            <w:tcMar>
              <w:left w:w="65" w:type="dxa"/>
            </w:tcMar>
            <w:vAlign w:val="bottom"/>
          </w:tcPr>
          <w:p>
            <w:pPr>
              <w:pStyle w:val="Normal"/>
              <w:rPr/>
            </w:pPr>
            <w:r>
              <w:rPr/>
              <w:t>Piezas de colección de 2 a 15 Kg. De peso, en conjuntos de 3 o más cristales (tatúes) sin desportilladuras de sus aristas y vértices, sin roturas internas, de buen color y cristalización perfecta, con belleza natural y equilibrio en sus formas.</w:t>
            </w:r>
          </w:p>
        </w:tc>
        <w:tc>
          <w:tcPr>
            <w:tcW w:w="386" w:type="dxa"/>
            <w:tcBorders/>
            <w:shd w:fill="auto" w:val="clear"/>
            <w:vAlign w:val="bottom"/>
          </w:tcPr>
          <w:p>
            <w:pPr>
              <w:pStyle w:val="Normal"/>
              <w:rPr/>
            </w:pPr>
            <w:r>
              <w:rPr/>
              <w:t> </w:t>
            </w:r>
          </w:p>
        </w:tc>
        <w:tc>
          <w:tcPr>
            <w:tcW w:w="680" w:type="dxa"/>
            <w:tcBorders>
              <w:left w:val="single" w:sz="4" w:space="0" w:color="000000"/>
            </w:tcBorders>
            <w:shd w:fill="auto" w:val="clear"/>
            <w:tcMar>
              <w:left w:w="65" w:type="dxa"/>
            </w:tcMar>
            <w:vAlign w:val="bottom"/>
          </w:tcPr>
          <w:p>
            <w:pPr>
              <w:pStyle w:val="Normal"/>
              <w:jc w:val="center"/>
              <w:rPr/>
            </w:pPr>
            <w:r>
              <w:rPr/>
              <w:t>Kg. </w:t>
            </w:r>
          </w:p>
        </w:tc>
        <w:tc>
          <w:tcPr>
            <w:tcW w:w="1552" w:type="dxa"/>
            <w:tcBorders>
              <w:left w:val="single" w:sz="4" w:space="0" w:color="000000"/>
            </w:tcBorders>
            <w:shd w:fill="auto" w:val="clear"/>
            <w:tcMar>
              <w:left w:w="65" w:type="dxa"/>
            </w:tcMar>
            <w:vAlign w:val="bottom"/>
          </w:tcPr>
          <w:p>
            <w:pPr>
              <w:pStyle w:val="Normal"/>
              <w:jc w:val="right"/>
              <w:rPr/>
            </w:pPr>
            <w:r>
              <w:rPr/>
              <w:t> </w:t>
            </w:r>
            <w:r>
              <w:rPr/>
              <w:t>2,50</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 </w:t>
            </w:r>
            <w:r>
              <w:rPr/>
              <w:t>0,40</w:t>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w:t>
            </w:r>
          </w:p>
        </w:tc>
        <w:tc>
          <w:tcPr>
            <w:tcW w:w="5610" w:type="dxa"/>
            <w:gridSpan w:val="5"/>
            <w:tcBorders>
              <w:left w:val="single" w:sz="4" w:space="0" w:color="000000"/>
            </w:tcBorders>
            <w:shd w:fill="auto" w:val="clear"/>
            <w:tcMar>
              <w:left w:w="65" w:type="dxa"/>
            </w:tcMar>
            <w:vAlign w:val="bottom"/>
          </w:tcPr>
          <w:p>
            <w:pPr>
              <w:pStyle w:val="Normal"/>
              <w:snapToGrid w:val="false"/>
              <w:rPr/>
            </w:pPr>
            <w:r>
              <w:rPr/>
            </w:r>
          </w:p>
        </w:tc>
        <w:tc>
          <w:tcPr>
            <w:tcW w:w="680" w:type="dxa"/>
            <w:tcBorders>
              <w:left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tcBorders>
            <w:shd w:fill="auto" w:val="clear"/>
            <w:tcMar>
              <w:left w:w="65" w:type="dxa"/>
            </w:tcMar>
            <w:vAlign w:val="bottom"/>
          </w:tcPr>
          <w:p>
            <w:pPr>
              <w:pStyle w:val="Normal"/>
              <w:snapToGrid w:val="false"/>
              <w:rPr/>
            </w:pPr>
            <w:r>
              <w:rPr/>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snapToGrid w:val="false"/>
              <w:rPr/>
            </w:pPr>
            <w:r>
              <w:rPr/>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w:t>
            </w:r>
          </w:p>
        </w:tc>
        <w:tc>
          <w:tcPr>
            <w:tcW w:w="5610" w:type="dxa"/>
            <w:gridSpan w:val="5"/>
            <w:tcBorders>
              <w:left w:val="single" w:sz="4" w:space="0" w:color="000000"/>
            </w:tcBorders>
            <w:shd w:fill="auto" w:val="clear"/>
            <w:tcMar>
              <w:left w:w="65" w:type="dxa"/>
            </w:tcMar>
            <w:vAlign w:val="bottom"/>
          </w:tcPr>
          <w:p>
            <w:pPr>
              <w:pStyle w:val="Normal"/>
              <w:snapToGrid w:val="false"/>
              <w:rPr/>
            </w:pPr>
            <w:r>
              <w:rPr/>
            </w:r>
          </w:p>
        </w:tc>
        <w:tc>
          <w:tcPr>
            <w:tcW w:w="680" w:type="dxa"/>
            <w:tcBorders>
              <w:left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tcBorders>
            <w:shd w:fill="auto" w:val="clear"/>
            <w:tcMar>
              <w:left w:w="65" w:type="dxa"/>
            </w:tcMar>
            <w:vAlign w:val="bottom"/>
          </w:tcPr>
          <w:p>
            <w:pPr>
              <w:pStyle w:val="Normal"/>
              <w:snapToGrid w:val="false"/>
              <w:rPr/>
            </w:pPr>
            <w:r>
              <w:rPr/>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snapToGrid w:val="false"/>
              <w:rPr/>
            </w:pPr>
            <w:r>
              <w:rPr/>
            </w:r>
          </w:p>
        </w:tc>
      </w:tr>
      <w:tr>
        <w:trPr>
          <w:trHeight w:val="255"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5224" w:type="dxa"/>
            <w:gridSpan w:val="4"/>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386" w:type="dxa"/>
            <w:tcBorders>
              <w:bottom w:val="single" w:sz="4" w:space="0" w:color="000000"/>
              <w:insideH w:val="single" w:sz="4" w:space="0" w:color="000000"/>
            </w:tcBorders>
            <w:shd w:fill="auto" w:val="clear"/>
            <w:vAlign w:val="bottom"/>
          </w:tcPr>
          <w:p>
            <w:pPr>
              <w:pStyle w:val="Normal"/>
              <w:snapToGrid w:val="false"/>
              <w:rPr/>
            </w:pPr>
            <w:r>
              <w:rPr/>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right"/>
              <w:rPr/>
            </w:pPr>
            <w:r>
              <w:rPr/>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napToGrid w:val="false"/>
              <w:jc w:val="right"/>
              <w:rPr/>
            </w:pPr>
            <w:r>
              <w:rPr/>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CALIDAD B</w:t>
            </w:r>
          </w:p>
        </w:tc>
        <w:tc>
          <w:tcPr>
            <w:tcW w:w="5610" w:type="dxa"/>
            <w:gridSpan w:val="5"/>
            <w:tcBorders>
              <w:top w:val="single" w:sz="4" w:space="0" w:color="000000"/>
              <w:left w:val="single" w:sz="4" w:space="0" w:color="000000"/>
            </w:tcBorders>
            <w:shd w:fill="auto" w:val="clear"/>
            <w:tcMar>
              <w:left w:w="65" w:type="dxa"/>
            </w:tcMar>
            <w:vAlign w:val="bottom"/>
          </w:tcPr>
          <w:p>
            <w:pPr>
              <w:pStyle w:val="Normal"/>
              <w:rPr/>
            </w:pPr>
            <w:r>
              <w:rPr/>
              <w:t xml:space="preserve">Piezas de colección con un peso mayor a 2 Kg. y menor a 300 Kg. Conjunto de cristales (tatúes) o picos sueltos sin desportilladuras en sus vértices y aristas, sin roturas internas, de buen color, de cristalización mediana y formas equilibradas.   </w:t>
            </w:r>
          </w:p>
        </w:tc>
        <w:tc>
          <w:tcPr>
            <w:tcW w:w="680" w:type="dxa"/>
            <w:tcBorders>
              <w:left w:val="single" w:sz="4" w:space="0" w:color="000000"/>
            </w:tcBorders>
            <w:shd w:fill="auto" w:val="clear"/>
            <w:tcMar>
              <w:left w:w="65" w:type="dxa"/>
            </w:tcMar>
            <w:vAlign w:val="bottom"/>
          </w:tcPr>
          <w:p>
            <w:pPr>
              <w:pStyle w:val="Normal"/>
              <w:jc w:val="center"/>
              <w:rPr/>
            </w:pPr>
            <w:r>
              <w:rPr/>
              <w:t>Kg.  </w:t>
            </w:r>
          </w:p>
        </w:tc>
        <w:tc>
          <w:tcPr>
            <w:tcW w:w="1552" w:type="dxa"/>
            <w:tcBorders>
              <w:left w:val="single" w:sz="4" w:space="0" w:color="000000"/>
            </w:tcBorders>
            <w:shd w:fill="auto" w:val="clear"/>
            <w:tcMar>
              <w:left w:w="65" w:type="dxa"/>
            </w:tcMar>
            <w:vAlign w:val="bottom"/>
          </w:tcPr>
          <w:p>
            <w:pPr>
              <w:pStyle w:val="Normal"/>
              <w:jc w:val="right"/>
              <w:rPr/>
            </w:pPr>
            <w:r>
              <w:rPr/>
              <w:t> </w:t>
            </w:r>
            <w:r>
              <w:rPr/>
              <w:t>1,20</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 </w:t>
            </w:r>
            <w:r>
              <w:rPr/>
              <w:t>0.40</w:t>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w:t>
            </w:r>
          </w:p>
        </w:tc>
        <w:tc>
          <w:tcPr>
            <w:tcW w:w="5610" w:type="dxa"/>
            <w:gridSpan w:val="5"/>
            <w:tcBorders>
              <w:left w:val="single" w:sz="4" w:space="0" w:color="000000"/>
            </w:tcBorders>
            <w:shd w:fill="auto" w:val="clear"/>
            <w:tcMar>
              <w:left w:w="65" w:type="dxa"/>
            </w:tcMar>
            <w:vAlign w:val="bottom"/>
          </w:tcPr>
          <w:p>
            <w:pPr>
              <w:pStyle w:val="Normal"/>
              <w:snapToGrid w:val="false"/>
              <w:rPr/>
            </w:pPr>
            <w:r>
              <w:rPr/>
            </w:r>
          </w:p>
        </w:tc>
        <w:tc>
          <w:tcPr>
            <w:tcW w:w="680" w:type="dxa"/>
            <w:tcBorders>
              <w:left w:val="single" w:sz="4" w:space="0" w:color="000000"/>
            </w:tcBorders>
            <w:shd w:fill="auto" w:val="clear"/>
            <w:tcMar>
              <w:left w:w="65" w:type="dxa"/>
            </w:tcMar>
            <w:vAlign w:val="bottom"/>
          </w:tcPr>
          <w:p>
            <w:pPr>
              <w:pStyle w:val="Normal"/>
              <w:jc w:val="center"/>
              <w:rPr/>
            </w:pPr>
            <w:r>
              <w:rPr/>
              <w:t> </w:t>
            </w:r>
          </w:p>
        </w:tc>
        <w:tc>
          <w:tcPr>
            <w:tcW w:w="1552" w:type="dxa"/>
            <w:tcBorders>
              <w:left w:val="single" w:sz="4" w:space="0" w:color="000000"/>
            </w:tcBorders>
            <w:shd w:fill="auto" w:val="clear"/>
            <w:tcMar>
              <w:left w:w="65" w:type="dxa"/>
            </w:tcMar>
            <w:vAlign w:val="bottom"/>
          </w:tcPr>
          <w:p>
            <w:pPr>
              <w:pStyle w:val="Normal"/>
              <w:rPr/>
            </w:pPr>
            <w:r>
              <w:rPr/>
              <w:t> </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rPr/>
            </w:pPr>
            <w:r>
              <w:rPr/>
              <w:t> </w:t>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 </w:t>
            </w:r>
          </w:p>
        </w:tc>
        <w:tc>
          <w:tcPr>
            <w:tcW w:w="5610" w:type="dxa"/>
            <w:gridSpan w:val="5"/>
            <w:tcBorders>
              <w:left w:val="single" w:sz="4" w:space="0" w:color="000000"/>
            </w:tcBorders>
            <w:shd w:fill="auto" w:val="clear"/>
            <w:tcMar>
              <w:left w:w="65" w:type="dxa"/>
            </w:tcMar>
            <w:vAlign w:val="bottom"/>
          </w:tcPr>
          <w:p>
            <w:pPr>
              <w:pStyle w:val="Normal"/>
              <w:snapToGrid w:val="false"/>
              <w:rPr/>
            </w:pPr>
            <w:r>
              <w:rPr/>
            </w:r>
          </w:p>
        </w:tc>
        <w:tc>
          <w:tcPr>
            <w:tcW w:w="680" w:type="dxa"/>
            <w:tcBorders>
              <w:left w:val="single" w:sz="4" w:space="0" w:color="000000"/>
            </w:tcBorders>
            <w:shd w:fill="auto" w:val="clear"/>
            <w:tcMar>
              <w:left w:w="65" w:type="dxa"/>
            </w:tcMar>
            <w:vAlign w:val="bottom"/>
          </w:tcPr>
          <w:p>
            <w:pPr>
              <w:pStyle w:val="Normal"/>
              <w:jc w:val="center"/>
              <w:rPr/>
            </w:pPr>
            <w:r>
              <w:rPr/>
              <w:t> </w:t>
            </w:r>
          </w:p>
        </w:tc>
        <w:tc>
          <w:tcPr>
            <w:tcW w:w="1552" w:type="dxa"/>
            <w:tcBorders>
              <w:left w:val="single" w:sz="4" w:space="0" w:color="000000"/>
            </w:tcBorders>
            <w:shd w:fill="auto" w:val="clear"/>
            <w:tcMar>
              <w:left w:w="65" w:type="dxa"/>
            </w:tcMar>
            <w:vAlign w:val="bottom"/>
          </w:tcPr>
          <w:p>
            <w:pPr>
              <w:pStyle w:val="Normal"/>
              <w:rPr/>
            </w:pPr>
            <w:r>
              <w:rPr/>
              <w:t> </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rPr/>
            </w:pPr>
            <w:r>
              <w:rPr/>
              <w:t> </w:t>
            </w:r>
          </w:p>
        </w:tc>
      </w:tr>
      <w:tr>
        <w:trPr>
          <w:trHeight w:val="255"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rPr/>
            </w:pPr>
            <w:r>
              <w:rPr/>
              <w:t> </w:t>
            </w:r>
          </w:p>
        </w:tc>
        <w:tc>
          <w:tcPr>
            <w:tcW w:w="2577" w:type="dxa"/>
            <w:gridSpan w:val="2"/>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1220" w:type="dxa"/>
            <w:tcBorders>
              <w:bottom w:val="single" w:sz="4" w:space="0" w:color="000000"/>
              <w:insideH w:val="single" w:sz="4" w:space="0" w:color="000000"/>
            </w:tcBorders>
            <w:shd w:fill="auto" w:val="clear"/>
            <w:vAlign w:val="bottom"/>
          </w:tcPr>
          <w:p>
            <w:pPr>
              <w:pStyle w:val="Normal"/>
              <w:rPr/>
            </w:pPr>
            <w:r>
              <w:rPr/>
              <w:t> </w:t>
            </w:r>
          </w:p>
        </w:tc>
        <w:tc>
          <w:tcPr>
            <w:tcW w:w="1427" w:type="dxa"/>
            <w:tcBorders>
              <w:bottom w:val="single" w:sz="4" w:space="0" w:color="000000"/>
              <w:insideH w:val="single" w:sz="4" w:space="0" w:color="000000"/>
            </w:tcBorders>
            <w:shd w:fill="auto" w:val="clear"/>
            <w:vAlign w:val="bottom"/>
          </w:tcPr>
          <w:p>
            <w:pPr>
              <w:pStyle w:val="Normal"/>
              <w:rPr/>
            </w:pPr>
            <w:r>
              <w:rPr/>
              <w:t> </w:t>
            </w:r>
          </w:p>
        </w:tc>
        <w:tc>
          <w:tcPr>
            <w:tcW w:w="386" w:type="dxa"/>
            <w:tcBorders>
              <w:bottom w:val="single" w:sz="4" w:space="0" w:color="000000"/>
              <w:insideH w:val="single" w:sz="4" w:space="0" w:color="000000"/>
            </w:tcBorders>
            <w:shd w:fill="auto" w:val="clear"/>
            <w:vAlign w:val="bottom"/>
          </w:tcPr>
          <w:p>
            <w:pPr>
              <w:pStyle w:val="Normal"/>
              <w:rPr/>
            </w:pPr>
            <w:r>
              <w:rPr/>
              <w:t> </w:t>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right"/>
              <w:rPr/>
            </w:pPr>
            <w:r>
              <w:rPr/>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napToGrid w:val="false"/>
              <w:jc w:val="right"/>
              <w:rPr/>
            </w:pPr>
            <w:r>
              <w:rPr/>
            </w:r>
          </w:p>
        </w:tc>
      </w:tr>
      <w:tr>
        <w:trPr>
          <w:trHeight w:val="255" w:hRule="atLeast"/>
        </w:trPr>
        <w:tc>
          <w:tcPr>
            <w:tcW w:w="1447" w:type="dxa"/>
            <w:tcBorders>
              <w:left w:val="single" w:sz="4" w:space="0" w:color="000000"/>
            </w:tcBorders>
            <w:shd w:fill="auto" w:val="clear"/>
            <w:tcMar>
              <w:left w:w="65" w:type="dxa"/>
            </w:tcMar>
            <w:vAlign w:val="bottom"/>
          </w:tcPr>
          <w:p>
            <w:pPr>
              <w:pStyle w:val="Normal"/>
              <w:rPr/>
            </w:pPr>
            <w:r>
              <w:rPr/>
              <w:t>CALIDAD C</w:t>
            </w:r>
          </w:p>
        </w:tc>
        <w:tc>
          <w:tcPr>
            <w:tcW w:w="5610" w:type="dxa"/>
            <w:gridSpan w:val="5"/>
            <w:tcBorders>
              <w:top w:val="single" w:sz="4" w:space="0" w:color="000000"/>
              <w:left w:val="single" w:sz="4" w:space="0" w:color="000000"/>
            </w:tcBorders>
            <w:shd w:fill="auto" w:val="clear"/>
            <w:tcMar>
              <w:left w:w="65" w:type="dxa"/>
            </w:tcMar>
            <w:vAlign w:val="bottom"/>
          </w:tcPr>
          <w:p>
            <w:pPr>
              <w:pStyle w:val="Normal"/>
              <w:rPr/>
            </w:pPr>
            <w:r>
              <w:rPr/>
              <w:t>Picos individuales "Blancos" con color bajo a medio, piezas con peso superior a 300 gr. Y forma alargada, donde la longitud sea 3 veces el diámetro</w:t>
            </w:r>
          </w:p>
        </w:tc>
        <w:tc>
          <w:tcPr>
            <w:tcW w:w="680" w:type="dxa"/>
            <w:tcBorders>
              <w:left w:val="single" w:sz="4" w:space="0" w:color="000000"/>
            </w:tcBorders>
            <w:shd w:fill="auto" w:val="clear"/>
            <w:tcMar>
              <w:left w:w="65" w:type="dxa"/>
            </w:tcMar>
            <w:vAlign w:val="bottom"/>
          </w:tcPr>
          <w:p>
            <w:pPr>
              <w:pStyle w:val="Normal"/>
              <w:jc w:val="center"/>
              <w:rPr/>
            </w:pPr>
            <w:r>
              <w:rPr/>
              <w:t> </w:t>
            </w:r>
            <w:r>
              <w:rPr/>
              <w:t>Kg.</w:t>
            </w:r>
          </w:p>
        </w:tc>
        <w:tc>
          <w:tcPr>
            <w:tcW w:w="1552" w:type="dxa"/>
            <w:tcBorders>
              <w:left w:val="single" w:sz="4" w:space="0" w:color="000000"/>
            </w:tcBorders>
            <w:shd w:fill="auto" w:val="clear"/>
            <w:tcMar>
              <w:left w:w="65" w:type="dxa"/>
            </w:tcMar>
            <w:vAlign w:val="bottom"/>
          </w:tcPr>
          <w:p>
            <w:pPr>
              <w:pStyle w:val="Normal"/>
              <w:jc w:val="right"/>
              <w:rPr/>
            </w:pPr>
            <w:r>
              <w:rPr/>
              <w:t> </w:t>
            </w:r>
            <w:r>
              <w:rPr/>
              <w:t>0,20</w:t>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jc w:val="right"/>
              <w:rPr/>
            </w:pPr>
            <w:r>
              <w:rPr/>
              <w:t> </w:t>
            </w:r>
            <w:r>
              <w:rPr/>
              <w:t>0,40</w:t>
            </w:r>
          </w:p>
        </w:tc>
      </w:tr>
      <w:tr>
        <w:trPr>
          <w:trHeight w:val="255" w:hRule="atLeast"/>
        </w:trPr>
        <w:tc>
          <w:tcPr>
            <w:tcW w:w="1447" w:type="dxa"/>
            <w:tcBorders>
              <w:left w:val="single" w:sz="4" w:space="0" w:color="000000"/>
            </w:tcBorders>
            <w:shd w:fill="auto" w:val="clear"/>
            <w:tcMar>
              <w:left w:w="65" w:type="dxa"/>
            </w:tcMar>
            <w:vAlign w:val="bottom"/>
          </w:tcPr>
          <w:p>
            <w:pPr>
              <w:pStyle w:val="Normal"/>
              <w:snapToGrid w:val="false"/>
              <w:rPr/>
            </w:pPr>
            <w:r>
              <w:rPr/>
            </w:r>
          </w:p>
        </w:tc>
        <w:tc>
          <w:tcPr>
            <w:tcW w:w="5610" w:type="dxa"/>
            <w:gridSpan w:val="5"/>
            <w:tcBorders>
              <w:left w:val="single" w:sz="4" w:space="0" w:color="000000"/>
            </w:tcBorders>
            <w:shd w:fill="auto" w:val="clear"/>
            <w:tcMar>
              <w:left w:w="65" w:type="dxa"/>
            </w:tcMar>
            <w:vAlign w:val="bottom"/>
          </w:tcPr>
          <w:p>
            <w:pPr>
              <w:pStyle w:val="Normal"/>
              <w:snapToGrid w:val="false"/>
              <w:rPr/>
            </w:pPr>
            <w:r>
              <w:rPr/>
            </w:r>
          </w:p>
        </w:tc>
        <w:tc>
          <w:tcPr>
            <w:tcW w:w="680" w:type="dxa"/>
            <w:tcBorders>
              <w:left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tcBorders>
            <w:shd w:fill="auto" w:val="clear"/>
            <w:tcMar>
              <w:left w:w="65" w:type="dxa"/>
            </w:tcMar>
            <w:vAlign w:val="bottom"/>
          </w:tcPr>
          <w:p>
            <w:pPr>
              <w:pStyle w:val="Normal"/>
              <w:snapToGrid w:val="false"/>
              <w:rPr/>
            </w:pPr>
            <w:r>
              <w:rPr/>
            </w:r>
          </w:p>
        </w:tc>
        <w:tc>
          <w:tcPr>
            <w:tcW w:w="1350" w:type="dxa"/>
            <w:tcBorders>
              <w:left w:val="single" w:sz="4" w:space="0" w:color="000000"/>
              <w:right w:val="single" w:sz="4" w:space="0" w:color="000000"/>
              <w:insideV w:val="single" w:sz="4" w:space="0" w:color="000000"/>
            </w:tcBorders>
            <w:shd w:fill="auto" w:val="clear"/>
            <w:tcMar>
              <w:left w:w="65" w:type="dxa"/>
            </w:tcMar>
            <w:vAlign w:val="bottom"/>
          </w:tcPr>
          <w:p>
            <w:pPr>
              <w:pStyle w:val="Normal"/>
              <w:snapToGrid w:val="false"/>
              <w:rPr/>
            </w:pPr>
            <w:r>
              <w:rPr/>
            </w:r>
          </w:p>
        </w:tc>
      </w:tr>
      <w:tr>
        <w:trPr>
          <w:trHeight w:val="255" w:hRule="atLeast"/>
        </w:trPr>
        <w:tc>
          <w:tcPr>
            <w:tcW w:w="1447"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15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rPr/>
            </w:pPr>
            <w:r>
              <w:rPr/>
            </w:r>
          </w:p>
        </w:tc>
        <w:tc>
          <w:tcPr>
            <w:tcW w:w="997" w:type="dxa"/>
            <w:tcBorders>
              <w:bottom w:val="single" w:sz="4" w:space="0" w:color="000000"/>
              <w:insideH w:val="single" w:sz="4" w:space="0" w:color="000000"/>
            </w:tcBorders>
            <w:shd w:fill="auto" w:val="clear"/>
            <w:vAlign w:val="bottom"/>
          </w:tcPr>
          <w:p>
            <w:pPr>
              <w:pStyle w:val="Normal"/>
              <w:snapToGrid w:val="false"/>
              <w:rPr/>
            </w:pPr>
            <w:r>
              <w:rPr/>
            </w:r>
          </w:p>
        </w:tc>
        <w:tc>
          <w:tcPr>
            <w:tcW w:w="1220" w:type="dxa"/>
            <w:tcBorders>
              <w:bottom w:val="single" w:sz="4" w:space="0" w:color="000000"/>
              <w:insideH w:val="single" w:sz="4" w:space="0" w:color="000000"/>
            </w:tcBorders>
            <w:shd w:fill="auto" w:val="clear"/>
            <w:vAlign w:val="bottom"/>
          </w:tcPr>
          <w:p>
            <w:pPr>
              <w:pStyle w:val="Normal"/>
              <w:snapToGrid w:val="false"/>
              <w:rPr/>
            </w:pPr>
            <w:r>
              <w:rPr/>
            </w:r>
          </w:p>
        </w:tc>
        <w:tc>
          <w:tcPr>
            <w:tcW w:w="1427" w:type="dxa"/>
            <w:tcBorders>
              <w:bottom w:val="single" w:sz="4" w:space="0" w:color="000000"/>
              <w:insideH w:val="single" w:sz="4" w:space="0" w:color="000000"/>
            </w:tcBorders>
            <w:shd w:fill="auto" w:val="clear"/>
            <w:vAlign w:val="bottom"/>
          </w:tcPr>
          <w:p>
            <w:pPr>
              <w:pStyle w:val="Normal"/>
              <w:snapToGrid w:val="false"/>
              <w:rPr/>
            </w:pPr>
            <w:r>
              <w:rPr/>
            </w:r>
          </w:p>
        </w:tc>
        <w:tc>
          <w:tcPr>
            <w:tcW w:w="386" w:type="dxa"/>
            <w:tcBorders>
              <w:bottom w:val="single" w:sz="4" w:space="0" w:color="000000"/>
              <w:insideH w:val="single" w:sz="4" w:space="0" w:color="000000"/>
            </w:tcBorders>
            <w:shd w:fill="auto" w:val="clear"/>
            <w:vAlign w:val="bottom"/>
          </w:tcPr>
          <w:p>
            <w:pPr>
              <w:pStyle w:val="Normal"/>
              <w:snapToGrid w:val="false"/>
              <w:rPr/>
            </w:pPr>
            <w:r>
              <w:rPr/>
            </w:r>
          </w:p>
        </w:tc>
        <w:tc>
          <w:tcPr>
            <w:tcW w:w="680"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center"/>
              <w:rPr/>
            </w:pPr>
            <w:r>
              <w:rPr/>
            </w:r>
          </w:p>
        </w:tc>
        <w:tc>
          <w:tcPr>
            <w:tcW w:w="1552" w:type="dxa"/>
            <w:tcBorders>
              <w:left w:val="single" w:sz="4" w:space="0" w:color="000000"/>
              <w:bottom w:val="single" w:sz="4" w:space="0" w:color="000000"/>
              <w:insideH w:val="single" w:sz="4" w:space="0" w:color="000000"/>
            </w:tcBorders>
            <w:shd w:fill="auto" w:val="clear"/>
            <w:tcMar>
              <w:left w:w="65" w:type="dxa"/>
            </w:tcMar>
            <w:vAlign w:val="bottom"/>
          </w:tcPr>
          <w:p>
            <w:pPr>
              <w:pStyle w:val="Normal"/>
              <w:snapToGrid w:val="false"/>
              <w:jc w:val="right"/>
              <w:rPr/>
            </w:pPr>
            <w:r>
              <w:rPr/>
            </w:r>
          </w:p>
        </w:tc>
        <w:tc>
          <w:tcPr>
            <w:tcW w:w="135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vAlign w:val="bottom"/>
          </w:tcPr>
          <w:p>
            <w:pPr>
              <w:pStyle w:val="Normal"/>
              <w:snapToGrid w:val="false"/>
              <w:jc w:val="right"/>
              <w:rPr/>
            </w:pPr>
            <w:r>
              <w:rPr/>
            </w:r>
          </w:p>
        </w:tc>
      </w:tr>
    </w:tbl>
    <w:p>
      <w:pPr>
        <w:pStyle w:val="Normal"/>
        <w:rPr/>
      </w:pPr>
      <w:r>
        <w:rPr/>
      </w:r>
    </w:p>
    <w:p>
      <w:pPr>
        <w:pStyle w:val="Normal"/>
        <w:jc w:val="both"/>
        <w:rPr/>
      </w:pPr>
      <w:r>
        <w:rPr/>
      </w:r>
    </w:p>
    <w:p>
      <w:pPr>
        <w:pStyle w:val="Normal"/>
        <w:jc w:val="both"/>
        <w:rPr/>
      </w:pPr>
      <w:r>
        <w:rPr/>
        <w:t xml:space="preserve">2.6.- </w:t>
      </w:r>
      <w:r>
        <w:rPr>
          <w:b/>
        </w:rPr>
        <w:t>NORMATIVAS PARA LA EJECUCIÓN DE LOS TRABAJOS.</w:t>
      </w:r>
    </w:p>
    <w:p>
      <w:pPr>
        <w:pStyle w:val="Normal"/>
        <w:jc w:val="both"/>
        <w:rPr/>
      </w:pPr>
      <w:r>
        <w:rPr/>
      </w:r>
    </w:p>
    <w:p>
      <w:pPr>
        <w:pStyle w:val="Normal"/>
        <w:jc w:val="both"/>
        <w:rPr>
          <w:b/>
          <w:b/>
        </w:rPr>
      </w:pPr>
      <w:r>
        <w:rPr>
          <w:b/>
        </w:rPr>
        <w:t>Cuadrillas de trabajo:</w:t>
      </w:r>
    </w:p>
    <w:p>
      <w:pPr>
        <w:pStyle w:val="Normal"/>
        <w:jc w:val="both"/>
        <w:rPr>
          <w:b/>
          <w:b/>
        </w:rPr>
      </w:pPr>
      <w:r>
        <w:rPr>
          <w:b/>
        </w:rPr>
      </w:r>
    </w:p>
    <w:p>
      <w:pPr>
        <w:pStyle w:val="Normal"/>
        <w:ind w:firstLine="708"/>
        <w:jc w:val="both"/>
        <w:rPr/>
      </w:pPr>
      <w:r>
        <w:rPr/>
        <w:t>Las superintendencias de producción o Geología designarán grupos de trabajo denominados “</w:t>
      </w:r>
      <w:r>
        <w:rPr>
          <w:b/>
        </w:rPr>
        <w:t>cuadrillas</w:t>
      </w:r>
      <w:r>
        <w:rPr/>
        <w:t>” y asignará a las mismas mediante un contrato labores específicas y periodos de realización de trabajos, debiendo las cuadrillas sujetarse estrictamente a esas instrucciones.</w:t>
      </w:r>
    </w:p>
    <w:p>
      <w:pPr>
        <w:pStyle w:val="Normal"/>
        <w:jc w:val="both"/>
        <w:rPr/>
      </w:pPr>
      <w:r>
        <w:rPr/>
      </w:r>
    </w:p>
    <w:p>
      <w:pPr>
        <w:pStyle w:val="Normal"/>
        <w:jc w:val="both"/>
        <w:rPr>
          <w:b/>
          <w:b/>
        </w:rPr>
      </w:pPr>
      <w:r>
        <w:rPr>
          <w:b/>
        </w:rPr>
        <w:t>Jefe de cuadrilla:</w:t>
      </w:r>
    </w:p>
    <w:p>
      <w:pPr>
        <w:pStyle w:val="Normal"/>
        <w:ind w:firstLine="708"/>
        <w:jc w:val="both"/>
        <w:rPr/>
      </w:pPr>
      <w:r>
        <w:rPr/>
      </w:r>
    </w:p>
    <w:p>
      <w:pPr>
        <w:pStyle w:val="Normal"/>
        <w:ind w:firstLine="708"/>
        <w:jc w:val="both"/>
        <w:rPr/>
      </w:pPr>
      <w:r>
        <w:rPr/>
        <w:t>Cada cuadrilla tendrá un jefe responsable, que será designado por la superintendencia respectiva. El jefe de cuadrilla cumplirá las labores de coordinación de los componentes de su cuadrilla y las relaciones entre ella y la superintendencia correspondiente.</w:t>
      </w:r>
    </w:p>
    <w:p>
      <w:pPr>
        <w:pStyle w:val="Normal"/>
        <w:jc w:val="both"/>
        <w:rPr/>
      </w:pPr>
      <w:r>
        <w:rPr/>
      </w:r>
    </w:p>
    <w:p>
      <w:pPr>
        <w:pStyle w:val="Normal"/>
        <w:jc w:val="both"/>
        <w:rPr>
          <w:b/>
          <w:b/>
        </w:rPr>
      </w:pPr>
      <w:r>
        <w:rPr>
          <w:b/>
        </w:rPr>
        <w:t>Valores de contratos:</w:t>
      </w:r>
    </w:p>
    <w:p>
      <w:pPr>
        <w:pStyle w:val="Normal"/>
        <w:jc w:val="both"/>
        <w:rPr/>
      </w:pPr>
      <w:r>
        <w:rPr/>
      </w:r>
    </w:p>
    <w:p>
      <w:pPr>
        <w:pStyle w:val="Normal"/>
        <w:ind w:firstLine="708"/>
        <w:jc w:val="both"/>
        <w:rPr/>
      </w:pPr>
      <w:r>
        <w:rPr/>
        <w:t>La empresa pagará a cada cuadrilla, por concepto de mano de obra, los valores indicados en los cuadros precedentes, según los avances y aprobación de la calidad de las labores determinadas por la superintendencia respectiva.</w:t>
      </w:r>
    </w:p>
    <w:p>
      <w:pPr>
        <w:pStyle w:val="Normal"/>
        <w:ind w:firstLine="708"/>
        <w:jc w:val="both"/>
        <w:rPr/>
      </w:pPr>
      <w:r>
        <w:rPr/>
        <w:t>Los minerales producidos serán entregados al almacén de minerales al fin de cada jornada, donde será pesado y almacenado para ser clasificado dentro de las siguientes 48 horas. El jefe de cuadrilla deberá estar presente en el momento de establecer pesos y calidades de la producción de su cuadrilla, no se aceptarán reclamos de ninguna índole una vez concluida la clasificación y pesaje final, Los minerales rechazados podrán ser echados al desmonte a opción de la empresa.</w:t>
      </w:r>
    </w:p>
    <w:p>
      <w:pPr>
        <w:pStyle w:val="Normal"/>
        <w:jc w:val="both"/>
        <w:rPr/>
      </w:pPr>
      <w:r>
        <w:rPr/>
      </w:r>
    </w:p>
    <w:p>
      <w:pPr>
        <w:pStyle w:val="Normal"/>
        <w:jc w:val="both"/>
        <w:rPr/>
      </w:pPr>
      <w:r>
        <w:rPr>
          <w:b/>
        </w:rPr>
        <w:t>Equipos, Herramientas y otros materiales:</w:t>
      </w:r>
    </w:p>
    <w:p>
      <w:pPr>
        <w:pStyle w:val="Normal"/>
        <w:jc w:val="both"/>
        <w:rPr>
          <w:b/>
          <w:b/>
        </w:rPr>
      </w:pPr>
      <w:r>
        <w:rPr>
          <w:b/>
        </w:rPr>
      </w:r>
    </w:p>
    <w:p>
      <w:pPr>
        <w:pStyle w:val="Normal"/>
        <w:ind w:firstLine="708"/>
        <w:jc w:val="both"/>
        <w:rPr/>
      </w:pPr>
      <w:r>
        <w:rPr/>
        <w:t>Estos serán suministrados por la empresa sin costo a cada cuadrilla, según necesidades aprobadas por la superintendencia respectiva. El jefe de cuadrilla deberá oportunamente reportar a la superintendencia respectiva, los requerimientos de mantenimiento o reparaciones, exigir y asegurarse que todos los elementos de trabajo estén en óptimas condiciones para la producción.</w:t>
      </w:r>
    </w:p>
    <w:p>
      <w:pPr>
        <w:pStyle w:val="Normal"/>
        <w:ind w:firstLine="708"/>
        <w:jc w:val="both"/>
        <w:rPr/>
      </w:pPr>
      <w:r>
        <w:rPr/>
        <w:t>Precautelando el buen uso de las herramientas, equipos y otros materiales de producción, la cuadrilla será responsable de su cuidado, debiendo cubrir en su caso los costos que impliquen la reposición por perdida, mal uso o la reparación debido a no haber reportado daños o no haber dado su mantenimiento en forma oportuna conforme a lo establecido en párrafo anterior.</w:t>
      </w:r>
    </w:p>
    <w:p>
      <w:pPr>
        <w:pStyle w:val="Normal"/>
        <w:jc w:val="both"/>
        <w:rPr/>
      </w:pPr>
      <w:r>
        <w:rPr/>
      </w:r>
    </w:p>
    <w:p>
      <w:pPr>
        <w:pStyle w:val="Normal"/>
        <w:jc w:val="both"/>
        <w:rPr>
          <w:b/>
          <w:b/>
        </w:rPr>
      </w:pPr>
      <w:r>
        <w:rPr>
          <w:b/>
        </w:rPr>
        <w:t>Explosivos, Fulminantes y Mechas:</w:t>
      </w:r>
    </w:p>
    <w:p>
      <w:pPr>
        <w:pStyle w:val="Normal"/>
        <w:jc w:val="both"/>
        <w:rPr>
          <w:b/>
          <w:b/>
        </w:rPr>
      </w:pPr>
      <w:r>
        <w:rPr>
          <w:b/>
        </w:rPr>
      </w:r>
    </w:p>
    <w:p>
      <w:pPr>
        <w:pStyle w:val="Normal"/>
        <w:ind w:firstLine="708"/>
        <w:jc w:val="both"/>
        <w:rPr/>
      </w:pPr>
      <w:r>
        <w:rPr/>
        <w:t>Toda vez que estos materiales son de fácil mal utilización y deterioro por el mal manejo, con el fin de evitar el abuso, mal uso o descuido de estos materiales, que en forma directa causan una baja en la calidad de la producción minera, el 25% del costo de los mismos será por cuenta de la cuadrilla, debiendo descontarse en las planillas de liquidación correspondiente.</w:t>
      </w:r>
    </w:p>
    <w:p>
      <w:pPr>
        <w:pStyle w:val="Normal"/>
        <w:jc w:val="both"/>
        <w:rPr/>
      </w:pPr>
      <w:r>
        <w:rPr/>
      </w:r>
    </w:p>
    <w:p>
      <w:pPr>
        <w:pStyle w:val="Normal"/>
        <w:jc w:val="both"/>
        <w:rPr>
          <w:b/>
          <w:b/>
        </w:rPr>
      </w:pPr>
      <w:r>
        <w:rPr>
          <w:b/>
        </w:rPr>
        <w:t>Labores no Reconocidas:</w:t>
      </w:r>
    </w:p>
    <w:p>
      <w:pPr>
        <w:pStyle w:val="Normal"/>
        <w:jc w:val="both"/>
        <w:rPr>
          <w:b/>
          <w:b/>
        </w:rPr>
      </w:pPr>
      <w:r>
        <w:rPr>
          <w:b/>
        </w:rPr>
      </w:r>
    </w:p>
    <w:p>
      <w:pPr>
        <w:pStyle w:val="Normal"/>
        <w:ind w:firstLine="708"/>
        <w:jc w:val="both"/>
        <w:rPr/>
      </w:pPr>
      <w:r>
        <w:rPr/>
        <w:t>Los trabajos que por defectuosos no sean aprobados o estén fuera de los instructivos de la superintendencia correspondiente no serán reconocidos y por lo tanto no serán objeto de pago alguno.</w:t>
      </w:r>
    </w:p>
    <w:p>
      <w:pPr>
        <w:pStyle w:val="Normal"/>
        <w:jc w:val="both"/>
        <w:rPr/>
      </w:pPr>
      <w:r>
        <w:rPr/>
      </w:r>
    </w:p>
    <w:p>
      <w:pPr>
        <w:pStyle w:val="Normal"/>
        <w:jc w:val="both"/>
        <w:rPr/>
      </w:pPr>
      <w:r>
        <w:rPr/>
        <w:t>3.- JORNADA LABORAL, PERMANENCIA EN EL CAMPAMENTO Y DIAS DE DESCANSO.-</w:t>
      </w:r>
    </w:p>
    <w:p>
      <w:pPr>
        <w:pStyle w:val="Normal"/>
        <w:jc w:val="both"/>
        <w:rPr/>
      </w:pPr>
      <w:r>
        <w:rPr/>
      </w:r>
    </w:p>
    <w:p>
      <w:pPr>
        <w:pStyle w:val="Normal"/>
        <w:ind w:firstLine="708"/>
        <w:jc w:val="both"/>
        <w:rPr/>
      </w:pPr>
      <w:r>
        <w:rPr/>
        <w:t xml:space="preserve">Las labores se realizarán en las cuadrículas mineras de la Empresa ubicadas en la provincia Germán Busch cantón Santo Corazón; se hace constar que, por las condiciones de aislamiento en que se encuentra el lugar de trabajo, no existiendo ninguna población o ciudad cercana al mismo, en total acuerdo de partes se establece que la permanencia del personal en el campamento será de 45 días continuos de trabajo incluyendo los domingos y feriados; por cada domingo o feriado que transcurra durante la permanencia del trabajador en el campamento, la Empresa compensará de acuerdo a lo estipulado en la Ley General del Trabajo con un día hábil de la semana por cada día domingo o festivo trabajado, descanso que empezará a regir al día siguiente que el trabajador sea dejado en la ciudad de Puerto Suárez de regreso del campamento. </w:t>
      </w:r>
    </w:p>
    <w:p>
      <w:pPr>
        <w:pStyle w:val="Normal"/>
        <w:ind w:firstLine="708"/>
        <w:jc w:val="both"/>
        <w:rPr/>
      </w:pPr>
      <w:r>
        <w:rPr/>
        <w:t>El trabajador tanto en el traslado de ingreso como en el de salida, se considera laborando y ha disposición de la Empresa, por cuanto el tiempo de transporte hasta y desde la ciudad de Puerto Suárez, está contemplada en el tiempo de permanencia en su fuente laboral.</w:t>
      </w:r>
    </w:p>
    <w:p>
      <w:pPr>
        <w:pStyle w:val="Normal"/>
        <w:jc w:val="both"/>
        <w:rPr/>
      </w:pPr>
      <w:r>
        <w:rPr/>
      </w:r>
    </w:p>
    <w:p>
      <w:pPr>
        <w:pStyle w:val="Normal"/>
        <w:jc w:val="both"/>
        <w:rPr/>
      </w:pPr>
      <w:r>
        <w:rPr/>
        <w:t>4.- DEL LUGAR DE LOS CONTRATOS Y TRASLADOS AL LUGAR DE TRABAJO.-</w:t>
      </w:r>
    </w:p>
    <w:p>
      <w:pPr>
        <w:pStyle w:val="Normal"/>
        <w:jc w:val="both"/>
        <w:rPr/>
      </w:pPr>
      <w:r>
        <w:rPr/>
      </w:r>
    </w:p>
    <w:p>
      <w:pPr>
        <w:pStyle w:val="Normal"/>
        <w:ind w:firstLine="708"/>
        <w:jc w:val="both"/>
        <w:rPr/>
      </w:pPr>
      <w:r>
        <w:rPr/>
        <w:t>Para todos los efectos de la operación minera, la Empresa fija su base Administrativa y Operativa, la ciudad de Puerto Suárez, por lo tanto la Empresa contrata a los trabajadores en esa ciudad cualquiera sea la procedencia originaria del trabajador, no pudiendo alegarse lo contrario so pretexto de tener establecida su familia en otro lugar del territorio nacional, salvo que se trate de emergencia médica, en cuyo caso, la Empresa correrá con el transporte hasta el lugar que el trabajador deba ser atendido.</w:t>
      </w:r>
    </w:p>
    <w:p>
      <w:pPr>
        <w:pStyle w:val="Normal"/>
        <w:jc w:val="both"/>
        <w:rPr/>
      </w:pPr>
      <w:r>
        <w:rPr/>
      </w:r>
    </w:p>
    <w:p>
      <w:pPr>
        <w:pStyle w:val="Normal"/>
        <w:ind w:firstLine="708"/>
        <w:jc w:val="both"/>
        <w:rPr/>
      </w:pPr>
      <w:r>
        <w:rPr/>
        <w:t>En todos los demás casos, la Empresa proporcionará el transporte de ida y vuelta entre la ciudad de Puerto Suárez y el campamento (lugar de trabajo), el que podrá ser por vía terrestre, fluvial o aérea.</w:t>
      </w:r>
    </w:p>
    <w:p>
      <w:pPr>
        <w:pStyle w:val="Normal"/>
        <w:jc w:val="both"/>
        <w:rPr/>
      </w:pPr>
      <w:r>
        <w:rPr/>
      </w:r>
    </w:p>
    <w:p>
      <w:pPr>
        <w:pStyle w:val="Normal"/>
        <w:ind w:firstLine="708"/>
        <w:jc w:val="both"/>
        <w:rPr/>
      </w:pPr>
      <w:r>
        <w:rPr/>
        <w:t>La Empresa adicionalmente al salario mensual de cada trabajador proporcionará un bono de transporte de Bs. 103.- Este bono, se pagará de forma mensual adjunto al sueldo de cada trabajador sin que pueda ser unificado al sueldo bajo ningún concepto.</w:t>
      </w:r>
    </w:p>
    <w:p>
      <w:pPr>
        <w:pStyle w:val="Normal"/>
        <w:jc w:val="both"/>
        <w:rPr/>
      </w:pPr>
      <w:r>
        <w:rPr/>
      </w:r>
    </w:p>
    <w:p>
      <w:pPr>
        <w:pStyle w:val="Normal"/>
        <w:jc w:val="both"/>
        <w:rPr/>
      </w:pPr>
      <w:r>
        <w:rPr/>
        <w:t>5.-  DEL MATERIAL DE SEGURIDAD.-</w:t>
      </w:r>
    </w:p>
    <w:p>
      <w:pPr>
        <w:pStyle w:val="Normal"/>
        <w:jc w:val="both"/>
        <w:rPr/>
      </w:pPr>
      <w:r>
        <w:rPr/>
      </w:r>
    </w:p>
    <w:p>
      <w:pPr>
        <w:pStyle w:val="Normal"/>
        <w:ind w:firstLine="708"/>
        <w:jc w:val="both"/>
        <w:rPr/>
      </w:pPr>
      <w:r>
        <w:rPr/>
        <w:t>La Empresa en cumplimiento de las normas legales en vigencia, en forma semestral dotará de ropa de trabajo y material de seguridad a todos sus trabajadores, los mismos serán entregados en el correspondiente lugar en el cual desempeñen sus funciones.</w:t>
      </w:r>
    </w:p>
    <w:p>
      <w:pPr>
        <w:pStyle w:val="Normal"/>
        <w:jc w:val="both"/>
        <w:rPr/>
      </w:pPr>
      <w:r>
        <w:rPr/>
      </w:r>
    </w:p>
    <w:p>
      <w:pPr>
        <w:pStyle w:val="Normal"/>
        <w:jc w:val="both"/>
        <w:rPr/>
      </w:pPr>
      <w:r>
        <w:rPr/>
        <w:t>6.- DEL SEGURO CONTRA ACCIDENTES PERSONALES.-</w:t>
      </w:r>
    </w:p>
    <w:p>
      <w:pPr>
        <w:pStyle w:val="Normal"/>
        <w:jc w:val="both"/>
        <w:rPr/>
      </w:pPr>
      <w:r>
        <w:rPr/>
      </w:r>
    </w:p>
    <w:p>
      <w:pPr>
        <w:pStyle w:val="Normal"/>
        <w:ind w:firstLine="708"/>
        <w:jc w:val="both"/>
        <w:rPr/>
      </w:pPr>
      <w:r>
        <w:rPr/>
        <w:t>La Empresa en forma adicional a los seguros de accidentes legales vigentes, tiene contratado para el personal de Interior Mina que son o pasen a ser parte de este contrato, una póliza contra accidentes de trabajo en la Empresa Aseguradora ……………….., la cual cubrirá los gastos médicos necesarios para su recuperación, e indemnización en caso de muerte del trabador. Para el caso de ocurrir siniestralidad, la Empresa erogará los gastos necesarios y se descontará dicho monto de la indemnización que entregue la compañía de seguros ya referida.</w:t>
      </w:r>
    </w:p>
    <w:p>
      <w:pPr>
        <w:pStyle w:val="Normal"/>
        <w:jc w:val="both"/>
        <w:rPr/>
      </w:pPr>
      <w:r>
        <w:rPr/>
      </w:r>
    </w:p>
    <w:p>
      <w:pPr>
        <w:pStyle w:val="Normal"/>
        <w:tabs>
          <w:tab w:val="left" w:pos="3540" w:leader="none"/>
        </w:tabs>
        <w:jc w:val="both"/>
        <w:rPr/>
      </w:pPr>
      <w:r>
        <w:rPr/>
        <w:t>7.- DE LA VIGENCIA.-</w:t>
      </w:r>
    </w:p>
    <w:p>
      <w:pPr>
        <w:pStyle w:val="Normal"/>
        <w:jc w:val="both"/>
        <w:rPr/>
      </w:pPr>
      <w:r>
        <w:rPr/>
      </w:r>
    </w:p>
    <w:p>
      <w:pPr>
        <w:pStyle w:val="Normal"/>
        <w:ind w:firstLine="708"/>
        <w:jc w:val="both"/>
        <w:rPr/>
      </w:pPr>
      <w:r>
        <w:rPr/>
        <w:t>El presente contrato tendrá una duración de dos años, el mismo que entra en vigencia a partir del  ……. 21 de abril del año 2005 hasta el 20 de abril del año 2007, fecha en la cual quedará extinguido de echo y pleno derecho el presente contrato, quedando aclarado que a la finalización del mismo podrá ser renovado o suscribirse uno nuevo, previo acuerdo entre partes firmantes.</w:t>
      </w:r>
    </w:p>
    <w:p>
      <w:pPr>
        <w:pStyle w:val="Normal"/>
        <w:jc w:val="both"/>
        <w:rPr/>
      </w:pPr>
      <w:r>
        <w:rPr/>
      </w:r>
    </w:p>
    <w:p>
      <w:pPr>
        <w:pStyle w:val="Normal"/>
        <w:ind w:firstLine="708"/>
        <w:jc w:val="both"/>
        <w:rPr/>
      </w:pPr>
      <w:r>
        <w:rPr/>
        <w:t>En señal de conformidad y aceptación del presente contrato colectivo de trabajo, previa lectura y análisis del mismo, ambas partes firman en cuatro ejemplares de igual tenor y valor jurídico.</w:t>
      </w:r>
    </w:p>
    <w:p>
      <w:pPr>
        <w:pStyle w:val="Normal"/>
        <w:ind w:firstLine="708"/>
        <w:jc w:val="both"/>
        <w:rPr/>
      </w:pPr>
      <w:r>
        <w:rPr/>
        <w:t xml:space="preserve">                            </w:t>
      </w:r>
    </w:p>
    <w:p>
      <w:pPr>
        <w:pStyle w:val="Normal"/>
        <w:ind w:firstLine="708"/>
        <w:jc w:val="both"/>
        <w:rPr/>
      </w:pPr>
      <w:r>
        <w:rPr/>
        <w:t xml:space="preserve">                                 </w:t>
      </w:r>
      <w:r>
        <w:rPr/>
        <w:t>Puerto Suárez, 21 de abril de 20__</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r>
        <w:rPr/>
        <w:t>RAMIRO RIVERO MENDOZA</w:t>
        <w:tab/>
        <w:tab/>
        <w:tab/>
        <w:t>ANDRÉS BURGOA FORONDA</w:t>
      </w:r>
    </w:p>
    <w:p>
      <w:pPr>
        <w:pStyle w:val="Normal"/>
        <w:jc w:val="both"/>
        <w:rPr/>
      </w:pPr>
      <w:r>
        <w:rPr/>
        <w:t>GERENTE GENERAL CORPORATIVO</w:t>
        <w:tab/>
        <w:tab/>
        <w:t xml:space="preserve">                   GERENTE UEN MINA</w:t>
      </w:r>
    </w:p>
    <w:p>
      <w:pPr>
        <w:pStyle w:val="Normal"/>
        <w:jc w:val="both"/>
        <w:rPr/>
      </w:pPr>
      <w:r>
        <w:rPr/>
        <w:t xml:space="preserve">                                </w:t>
      </w:r>
      <w:r>
        <w:rPr/>
        <w:t>POR MINERALES Y METALES DEL ORIENTE S.R.L.</w:t>
      </w:r>
    </w:p>
    <w:p>
      <w:pPr>
        <w:pStyle w:val="Normal"/>
        <w:rPr/>
      </w:pPr>
      <w:r>
        <w:rPr/>
      </w:r>
    </w:p>
    <w:p>
      <w:pPr>
        <w:pStyle w:val="Normal"/>
        <w:rPr/>
      </w:pPr>
      <w:r>
        <w:rPr/>
      </w:r>
    </w:p>
    <w:p>
      <w:pPr>
        <w:pStyle w:val="Normal"/>
        <w:jc w:val="center"/>
        <w:rPr/>
      </w:pPr>
      <w:r>
        <w:rPr>
          <w:u w:val="single"/>
        </w:rPr>
        <w:t>POR EL SINDICATO DE TRABAJADORES FIRMAN</w:t>
      </w:r>
    </w:p>
    <w:p>
      <w:pPr>
        <w:pStyle w:val="Normal"/>
        <w:rPr>
          <w:u w:val="single"/>
        </w:rPr>
      </w:pPr>
      <w:r>
        <w:rPr>
          <w:u w:val="single"/>
        </w:rPr>
      </w:r>
    </w:p>
    <w:p>
      <w:pPr>
        <w:pStyle w:val="Normal"/>
        <w:rPr/>
      </w:pPr>
      <w:r>
        <w:rPr/>
      </w:r>
    </w:p>
    <w:p>
      <w:pPr>
        <w:pStyle w:val="Normal"/>
        <w:rPr/>
      </w:pPr>
      <w:r>
        <w:rPr/>
      </w:r>
    </w:p>
    <w:p>
      <w:pPr>
        <w:pStyle w:val="Normal"/>
        <w:ind w:firstLine="708"/>
        <w:rPr/>
      </w:pPr>
      <w:r>
        <w:rPr/>
        <w:t>…………………</w:t>
      </w:r>
      <w:r>
        <w:rPr/>
        <w:t xml:space="preserve">..            </w:t>
      </w:r>
    </w:p>
    <w:p>
      <w:pPr>
        <w:pStyle w:val="Normal"/>
        <w:rPr/>
      </w:pPr>
      <w:r>
        <w:rPr/>
        <w:t xml:space="preserve">     </w:t>
      </w:r>
      <w:r>
        <w:rPr/>
        <w:t xml:space="preserve">SECRETARIO GENEAL </w:t>
      </w:r>
    </w:p>
    <w:p>
      <w:pPr>
        <w:pStyle w:val="Normal"/>
        <w:rPr/>
      </w:pPr>
      <w:r>
        <w:rPr/>
      </w:r>
    </w:p>
    <w:p>
      <w:pPr>
        <w:pStyle w:val="Normal"/>
        <w:rPr/>
      </w:pPr>
      <w:r>
        <w:rPr/>
      </w:r>
    </w:p>
    <w:p>
      <w:pPr>
        <w:pStyle w:val="Normal"/>
        <w:rPr/>
      </w:pPr>
      <w:r>
        <w:rPr/>
        <w:t xml:space="preserve">OJO.: </w:t>
        <w:tab/>
        <w:t xml:space="preserve">Quiero que se fijen bien en el contenido del presente proyecto y lo discutamos lo que no esté suficientemente claro. </w:t>
      </w:r>
    </w:p>
    <w:p>
      <w:pPr>
        <w:pStyle w:val="Normal"/>
        <w:jc w:val="both"/>
        <w:rPr/>
      </w:pPr>
      <w:r>
        <w:rPr/>
        <w:tab/>
        <w:t xml:space="preserve">Además, ustedes deben fijar los nuevos montos de </w:t>
      </w:r>
      <w:r>
        <w:rPr>
          <w:u w:val="single"/>
        </w:rPr>
        <w:t>reconocimientos, incentivos o plus</w:t>
      </w:r>
      <w:r>
        <w:rPr/>
        <w:t xml:space="preserve"> que se tiene en los cuadros expuestos del contrato, tomando en cuenta que ya no existe un jornal y un contrato con pagos diferentes, por el contrario, se ha dispuesto un Salario Básico (mejorado en más o menos 20 Bs. según el múltiplo de los jornales establecidos en el actual contrato). Entonces, en los referidos cuadros </w:t>
      </w:r>
      <w:r>
        <w:rPr>
          <w:u w:val="single"/>
        </w:rPr>
        <w:t>sólo debe ir el monto de los incentivos, reconocimientos o plus, ya que su sueldo básico es por el mes completo, esté o no produciendo el trabajador</w:t>
      </w:r>
      <w:r>
        <w:rPr/>
        <w:t>.</w:t>
      </w:r>
      <w:r>
        <w:rPr>
          <w:u w:val="single"/>
        </w:rPr>
        <w:t xml:space="preserve"> </w:t>
      </w:r>
      <w:r>
        <w:rPr/>
        <w:t xml:space="preserve">  </w:t>
      </w:r>
    </w:p>
    <w:p>
      <w:pPr>
        <w:pStyle w:val="Normal"/>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2008-03-14T17:39:00Z</dcterms:created>
  <dc:creator>*</dc:creator>
  <dc:description/>
  <dc:language>en-US</dc:language>
  <cp:lastModifiedBy>marcos selin mamani chino</cp:lastModifiedBy>
  <dcterms:modified xsi:type="dcterms:W3CDTF">2023-12-13T13:23:00Z</dcterms:modified>
  <cp:revision>2</cp:revision>
  <dc:subject/>
  <dc:title/>
</cp:coreProperties>
</file>